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76" w:lineRule="auto"/>
        <w:jc w:val="both"/>
        <w:rPr>
          <w:rFonts w:ascii="Arial" w:hAnsi="Arial" w:cs="Arial"/>
        </w:rPr>
      </w:pPr>
      <w:r>
        <w:rPr>
          <w:rFonts w:ascii="Arial" w:hAnsi="Arial" w:cs="Arial"/>
        </w:rPr>
        <w:t>Los aparatos electrónicos y eléctricos son unas mezclas de muchos materiales de tipo peligroso, de los cuales, si no se lleva un adecuado almacenamiento, podrían liberar sustancias toxicas al medio ambiente. De tal manera que existe la necesidad de establecer un programa de disposición final de residuos tecnológicos para Aguas del Huila S.A E.S.P que estén acordes a los lineamientos dados por la Ley 1672 de 2013 y la Política Nacional Para La Gestión Integral de RAEE.</w:t>
      </w:r>
    </w:p>
    <w:p>
      <w:pPr>
        <w:spacing w:after="0" w:line="276" w:lineRule="auto"/>
        <w:jc w:val="both"/>
        <w:rPr>
          <w:rFonts w:ascii="Arial" w:hAnsi="Arial" w:cs="Arial"/>
        </w:rPr>
      </w:pPr>
    </w:p>
    <w:p>
      <w:pPr>
        <w:spacing w:after="0" w:line="276" w:lineRule="auto"/>
        <w:jc w:val="both"/>
        <w:rPr>
          <w:rFonts w:ascii="Arial" w:hAnsi="Arial" w:cs="Arial"/>
        </w:rPr>
      </w:pPr>
      <w:r>
        <w:rPr>
          <w:rFonts w:ascii="Arial" w:hAnsi="Arial" w:cs="Arial"/>
        </w:rPr>
        <w:t>Este documento presenta lineamientos para la identificación, recolección, almacenamiento, aplicación de política de seguridad, de almacenamiento, física y del entorno de información y disposición de baja de los equipos incorporados en la entidad.</w:t>
      </w:r>
    </w:p>
    <w:p>
      <w:pPr>
        <w:spacing w:after="0" w:line="276" w:lineRule="auto"/>
        <w:jc w:val="both"/>
        <w:rPr>
          <w:rFonts w:ascii="Arial" w:hAnsi="Arial" w:cs="Arial"/>
        </w:rPr>
      </w:pPr>
    </w:p>
    <w:p>
      <w:pPr>
        <w:spacing w:after="0" w:line="276" w:lineRule="auto"/>
        <w:jc w:val="both"/>
        <w:rPr>
          <w:rFonts w:ascii="Arial" w:hAnsi="Arial" w:cs="Arial"/>
          <w:b/>
        </w:rPr>
      </w:pPr>
      <w:r>
        <w:rPr>
          <w:rFonts w:ascii="Arial" w:hAnsi="Arial" w:cs="Arial"/>
          <w:b/>
        </w:rPr>
        <w:t>OBJETIVO</w:t>
      </w:r>
    </w:p>
    <w:p>
      <w:pPr>
        <w:spacing w:after="0" w:line="276" w:lineRule="auto"/>
        <w:jc w:val="both"/>
        <w:rPr>
          <w:rFonts w:ascii="Arial" w:hAnsi="Arial" w:cs="Arial"/>
        </w:rPr>
      </w:pPr>
    </w:p>
    <w:p>
      <w:pPr>
        <w:spacing w:after="0" w:line="276" w:lineRule="auto"/>
        <w:jc w:val="both"/>
        <w:rPr>
          <w:rFonts w:ascii="Arial" w:hAnsi="Arial" w:cs="Arial"/>
        </w:rPr>
      </w:pPr>
      <w:r>
        <w:rPr>
          <w:rFonts w:ascii="Arial" w:hAnsi="Arial" w:cs="Arial"/>
        </w:rPr>
        <w:t>Implementar y garantizar la disposición final adecuada de residuos tecnológicos generados por Aguas del Huila S.A E.S.P; para prevenir impactos ambientales negativos, teniendo en cuenta lineamientos para el manejo de residuos eléctricos y electrónicos del Ministerio de Ambiente y Desarrollo Sostenible (MADS) y los parámetros de Seguridad y Privacidad de la Información establecidos por el Ministerio de Tecnologías de la Información y las Comunicaciones (MinTIC).</w:t>
      </w:r>
    </w:p>
    <w:p>
      <w:pPr>
        <w:spacing w:after="0" w:line="276" w:lineRule="auto"/>
        <w:jc w:val="both"/>
        <w:rPr>
          <w:rFonts w:ascii="Arial" w:hAnsi="Arial" w:cs="Arial"/>
        </w:rPr>
      </w:pPr>
    </w:p>
    <w:p>
      <w:pPr>
        <w:spacing w:after="0" w:line="276" w:lineRule="auto"/>
        <w:jc w:val="both"/>
        <w:rPr>
          <w:rFonts w:ascii="Arial" w:hAnsi="Arial" w:cs="Arial"/>
          <w:b/>
        </w:rPr>
      </w:pPr>
      <w:r>
        <w:rPr>
          <w:rFonts w:ascii="Arial" w:hAnsi="Arial" w:cs="Arial"/>
          <w:b/>
        </w:rPr>
        <w:t>ALCANCE</w:t>
      </w:r>
    </w:p>
    <w:p>
      <w:pPr>
        <w:spacing w:after="0" w:line="276" w:lineRule="auto"/>
        <w:jc w:val="both"/>
        <w:rPr>
          <w:rFonts w:ascii="Arial" w:hAnsi="Arial" w:cs="Arial"/>
        </w:rPr>
      </w:pPr>
    </w:p>
    <w:p>
      <w:pPr>
        <w:spacing w:after="0" w:line="276" w:lineRule="auto"/>
        <w:jc w:val="both"/>
        <w:rPr>
          <w:rFonts w:ascii="Arial" w:hAnsi="Arial" w:cs="Arial"/>
        </w:rPr>
      </w:pPr>
      <w:r>
        <w:rPr>
          <w:rFonts w:ascii="Arial" w:hAnsi="Arial" w:cs="Arial"/>
        </w:rPr>
        <w:t>El programa de disposición final de residuos tecnológicos, aplica para todas las dependencias de la Aguas del Huila S.A E.S.P. La Secretaría General se encargará de la recolección y almacenamiento de los residuos tecnológicos. Sin embargo, los procesos de transporte, reusó, reciclaje y disposición final los realizaran empresas externas que cumplan con la normatividad vigente o se aplicará el proceso de Baja de Bienes descrito en el Manual de Almacén adoptado por el Decreto 0257 de 2017.</w:t>
      </w:r>
    </w:p>
    <w:p>
      <w:pPr>
        <w:spacing w:after="0" w:line="276" w:lineRule="auto"/>
        <w:jc w:val="both"/>
        <w:rPr>
          <w:rFonts w:ascii="Arial" w:hAnsi="Arial" w:cs="Arial"/>
        </w:rPr>
      </w:pPr>
    </w:p>
    <w:p>
      <w:pPr>
        <w:spacing w:after="0" w:line="276" w:lineRule="auto"/>
        <w:jc w:val="both"/>
        <w:rPr>
          <w:rFonts w:ascii="Arial" w:hAnsi="Arial" w:cs="Arial"/>
          <w:b/>
        </w:rPr>
      </w:pPr>
      <w:r>
        <w:rPr>
          <w:rFonts w:ascii="Arial" w:hAnsi="Arial" w:cs="Arial"/>
          <w:b/>
        </w:rPr>
        <w:t>MARCO LEGAL</w:t>
      </w:r>
    </w:p>
    <w:p>
      <w:pPr>
        <w:spacing w:after="0" w:line="276" w:lineRule="auto"/>
        <w:jc w:val="both"/>
        <w:rPr>
          <w:rFonts w:ascii="Arial" w:hAnsi="Arial" w:cs="Arial"/>
        </w:rPr>
      </w:pPr>
    </w:p>
    <w:p>
      <w:pPr>
        <w:pStyle w:val="16"/>
        <w:numPr>
          <w:ilvl w:val="0"/>
          <w:numId w:val="1"/>
        </w:numPr>
        <w:spacing w:after="0"/>
        <w:jc w:val="both"/>
        <w:rPr>
          <w:rFonts w:ascii="Arial" w:hAnsi="Arial" w:cs="Arial"/>
        </w:rPr>
      </w:pPr>
      <w:r>
        <w:rPr>
          <w:rFonts w:ascii="Arial" w:hAnsi="Arial" w:cs="Arial"/>
        </w:rPr>
        <w:t>Ley 1672 de 2013 “Por la cual se establecen los lineamientos para la adopción de una política pública de gestión integral de residuos de aparatos eléctricos y electrónicos (RAEE), y se dictan otras disposiciones”</w:t>
      </w:r>
    </w:p>
    <w:p>
      <w:pPr>
        <w:pStyle w:val="16"/>
        <w:numPr>
          <w:ilvl w:val="0"/>
          <w:numId w:val="1"/>
        </w:numPr>
        <w:spacing w:after="0"/>
        <w:jc w:val="both"/>
        <w:rPr>
          <w:rFonts w:ascii="Arial" w:hAnsi="Arial" w:cs="Arial"/>
        </w:rPr>
      </w:pPr>
      <w:r>
        <w:rPr>
          <w:rFonts w:ascii="Arial" w:hAnsi="Arial" w:cs="Arial"/>
        </w:rPr>
        <w:t>Guía No. 8 MSPI – Controles de Seguridad y Privacidad de la Información</w:t>
      </w:r>
    </w:p>
    <w:p>
      <w:pPr>
        <w:spacing w:after="0" w:line="276" w:lineRule="auto"/>
        <w:jc w:val="both"/>
        <w:rPr>
          <w:rFonts w:ascii="Arial" w:hAnsi="Arial" w:cs="Arial"/>
        </w:rPr>
      </w:pPr>
    </w:p>
    <w:p>
      <w:pPr>
        <w:spacing w:after="0" w:line="276" w:lineRule="auto"/>
        <w:jc w:val="both"/>
        <w:rPr>
          <w:rFonts w:ascii="Arial" w:hAnsi="Arial" w:cs="Arial"/>
          <w:b/>
        </w:rPr>
      </w:pPr>
      <w:r>
        <w:rPr>
          <w:rFonts w:ascii="Arial" w:hAnsi="Arial" w:cs="Arial"/>
          <w:b/>
        </w:rPr>
        <w:t>TÉRMINOS Y DEFINICIONES</w:t>
      </w:r>
    </w:p>
    <w:p>
      <w:pPr>
        <w:spacing w:after="0" w:line="276" w:lineRule="auto"/>
        <w:jc w:val="both"/>
        <w:rPr>
          <w:rFonts w:ascii="Arial" w:hAnsi="Arial" w:cs="Arial"/>
        </w:rPr>
      </w:pPr>
    </w:p>
    <w:p>
      <w:pPr>
        <w:spacing w:after="0" w:line="276" w:lineRule="auto"/>
        <w:jc w:val="both"/>
        <w:rPr>
          <w:rFonts w:ascii="Arial" w:hAnsi="Arial" w:cs="Arial"/>
        </w:rPr>
      </w:pPr>
      <w:r>
        <w:rPr>
          <w:rFonts w:ascii="Arial" w:hAnsi="Arial" w:cs="Arial"/>
        </w:rPr>
        <w:t xml:space="preserve">APARATOS ELÉCTRICOS Y ELECTRÓNICOS (AEE): Todos los aparatos </w:t>
      </w:r>
      <w:r>
        <w:rPr>
          <w:rFonts w:ascii="Arial" w:hAnsi="Arial" w:cs="Arial"/>
        </w:rPr>
        <w:tab/>
      </w:r>
      <w:r>
        <w:rPr>
          <w:rFonts w:ascii="Arial" w:hAnsi="Arial" w:cs="Arial"/>
        </w:rPr>
        <w:t xml:space="preserve">que para funcionar necesitan corriente eléctrica o campos electromagnéticos, </w:t>
      </w:r>
      <w:r>
        <w:rPr>
          <w:rFonts w:ascii="Arial" w:hAnsi="Arial" w:cs="Arial"/>
        </w:rPr>
        <w:tab/>
      </w:r>
      <w:r>
        <w:rPr>
          <w:rFonts w:ascii="Arial" w:hAnsi="Arial" w:cs="Arial"/>
        </w:rPr>
        <w:t xml:space="preserve">así como los aparatos necesarios para generar, transmitir y medir tales </w:t>
      </w:r>
      <w:r>
        <w:rPr>
          <w:rFonts w:ascii="Arial" w:hAnsi="Arial" w:cs="Arial"/>
        </w:rPr>
        <w:tab/>
      </w:r>
      <w:r>
        <w:rPr>
          <w:rFonts w:ascii="Arial" w:hAnsi="Arial" w:cs="Arial"/>
        </w:rPr>
        <w:t>corrientes.</w:t>
      </w:r>
    </w:p>
    <w:p>
      <w:pPr>
        <w:spacing w:after="0" w:line="276" w:lineRule="auto"/>
        <w:jc w:val="both"/>
        <w:rPr>
          <w:rFonts w:ascii="Arial" w:hAnsi="Arial" w:cs="Arial"/>
        </w:rPr>
      </w:pPr>
    </w:p>
    <w:p>
      <w:pPr>
        <w:spacing w:after="0" w:line="276" w:lineRule="auto"/>
        <w:jc w:val="both"/>
        <w:rPr>
          <w:rFonts w:ascii="Arial" w:hAnsi="Arial" w:cs="Arial"/>
        </w:rPr>
      </w:pPr>
      <w:r>
        <w:rPr>
          <w:rFonts w:ascii="Arial" w:hAnsi="Arial" w:cs="Arial"/>
        </w:rPr>
        <w:t xml:space="preserve">BIENES DE CONSUMO: Los bienes de consumo son los bienes finales en </w:t>
      </w:r>
      <w:r>
        <w:rPr>
          <w:rFonts w:ascii="Arial" w:hAnsi="Arial" w:cs="Arial"/>
        </w:rPr>
        <w:tab/>
      </w:r>
      <w:r>
        <w:rPr>
          <w:rFonts w:ascii="Arial" w:hAnsi="Arial" w:cs="Arial"/>
        </w:rPr>
        <w:t xml:space="preserve">el proceso de producción de una economía. Satisfacen necesidades de las </w:t>
      </w:r>
      <w:r>
        <w:rPr>
          <w:rFonts w:ascii="Arial" w:hAnsi="Arial" w:cs="Arial"/>
        </w:rPr>
        <w:tab/>
      </w:r>
      <w:r>
        <w:rPr>
          <w:rFonts w:ascii="Arial" w:hAnsi="Arial" w:cs="Arial"/>
        </w:rPr>
        <w:t xml:space="preserve">personas de una manera directa y se consume en su primer uso o en un </w:t>
      </w:r>
      <w:r>
        <w:rPr>
          <w:rFonts w:ascii="Arial" w:hAnsi="Arial" w:cs="Arial"/>
        </w:rPr>
        <w:tab/>
      </w:r>
      <w:r>
        <w:rPr>
          <w:rFonts w:ascii="Arial" w:hAnsi="Arial" w:cs="Arial"/>
        </w:rPr>
        <w:t>período razonable de tiempo.</w:t>
      </w:r>
    </w:p>
    <w:p>
      <w:pPr>
        <w:spacing w:after="0" w:line="276" w:lineRule="auto"/>
        <w:jc w:val="both"/>
        <w:rPr>
          <w:rFonts w:ascii="Arial" w:hAnsi="Arial" w:cs="Arial"/>
        </w:rPr>
      </w:pPr>
    </w:p>
    <w:p>
      <w:pPr>
        <w:spacing w:after="0" w:line="276" w:lineRule="auto"/>
        <w:jc w:val="both"/>
        <w:rPr>
          <w:rFonts w:ascii="Arial" w:hAnsi="Arial" w:cs="Arial"/>
        </w:rPr>
      </w:pPr>
      <w:r>
        <w:rPr>
          <w:rFonts w:ascii="Arial" w:hAnsi="Arial" w:cs="Arial"/>
        </w:rPr>
        <w:t xml:space="preserve">BIENES INSERVIBLES: Son bienes que, por su desgaste, deterioro u </w:t>
      </w:r>
      <w:r>
        <w:rPr>
          <w:rFonts w:ascii="Arial" w:hAnsi="Arial" w:cs="Arial"/>
        </w:rPr>
        <w:tab/>
      </w:r>
      <w:r>
        <w:rPr>
          <w:rFonts w:ascii="Arial" w:hAnsi="Arial" w:cs="Arial"/>
        </w:rPr>
        <w:t xml:space="preserve">obsolescencia, material o tecnología, no son útiles para el servicio al cual se </w:t>
      </w:r>
      <w:r>
        <w:rPr>
          <w:rFonts w:ascii="Arial" w:hAnsi="Arial" w:cs="Arial"/>
        </w:rPr>
        <w:tab/>
      </w:r>
      <w:r>
        <w:rPr>
          <w:rFonts w:ascii="Arial" w:hAnsi="Arial" w:cs="Arial"/>
        </w:rPr>
        <w:t xml:space="preserve">encuentran destinados y no ofrecen posibilidad alguna de uso o </w:t>
      </w:r>
      <w:r>
        <w:rPr>
          <w:rFonts w:ascii="Arial" w:hAnsi="Arial" w:cs="Arial"/>
        </w:rPr>
        <w:tab/>
      </w:r>
      <w:r>
        <w:rPr>
          <w:rFonts w:ascii="Arial" w:hAnsi="Arial" w:cs="Arial"/>
        </w:rPr>
        <w:tab/>
      </w:r>
      <w:r>
        <w:rPr>
          <w:rFonts w:ascii="Arial" w:hAnsi="Arial" w:cs="Arial"/>
        </w:rPr>
        <w:t>aprovechamiento de su parte.</w:t>
      </w:r>
    </w:p>
    <w:p>
      <w:pPr>
        <w:spacing w:after="0" w:line="276" w:lineRule="auto"/>
        <w:jc w:val="both"/>
        <w:rPr>
          <w:rFonts w:ascii="Arial" w:hAnsi="Arial" w:cs="Arial"/>
        </w:rPr>
      </w:pPr>
    </w:p>
    <w:p>
      <w:pPr>
        <w:spacing w:after="0" w:line="276" w:lineRule="auto"/>
        <w:jc w:val="both"/>
        <w:rPr>
          <w:rFonts w:ascii="Arial" w:hAnsi="Arial" w:cs="Arial"/>
        </w:rPr>
      </w:pPr>
      <w:r>
        <w:rPr>
          <w:rFonts w:ascii="Arial" w:hAnsi="Arial" w:cs="Arial"/>
        </w:rPr>
        <w:t xml:space="preserve">BIENES NO UTILIZABLES: Son bienes que no obstante de estar en buen </w:t>
      </w:r>
      <w:r>
        <w:rPr>
          <w:rFonts w:ascii="Arial" w:hAnsi="Arial" w:cs="Arial"/>
        </w:rPr>
        <w:tab/>
      </w:r>
      <w:r>
        <w:rPr>
          <w:rFonts w:ascii="Arial" w:hAnsi="Arial" w:cs="Arial"/>
        </w:rPr>
        <w:t xml:space="preserve">estado, la entidad no los requiere para el normal desarrollo de sus </w:t>
      </w:r>
      <w:r>
        <w:rPr>
          <w:rFonts w:ascii="Arial" w:hAnsi="Arial" w:cs="Arial"/>
        </w:rPr>
        <w:tab/>
      </w:r>
      <w:r>
        <w:rPr>
          <w:rFonts w:ascii="Arial" w:hAnsi="Arial" w:cs="Arial"/>
        </w:rPr>
        <w:t>actividades, por caer en desuso.</w:t>
      </w:r>
    </w:p>
    <w:p>
      <w:pPr>
        <w:spacing w:after="0" w:line="276" w:lineRule="auto"/>
        <w:jc w:val="both"/>
        <w:rPr>
          <w:rFonts w:ascii="Arial" w:hAnsi="Arial" w:cs="Arial"/>
        </w:rPr>
      </w:pPr>
    </w:p>
    <w:p>
      <w:pPr>
        <w:spacing w:after="0" w:line="276" w:lineRule="auto"/>
        <w:jc w:val="both"/>
        <w:rPr>
          <w:rFonts w:ascii="Arial" w:hAnsi="Arial" w:cs="Arial"/>
        </w:rPr>
      </w:pPr>
      <w:r>
        <w:rPr>
          <w:rFonts w:ascii="Arial" w:hAnsi="Arial" w:cs="Arial"/>
        </w:rPr>
        <w:t xml:space="preserve">BIENES SERVIBLES: Son aquellos bienes muebles que se encuentran en  </w:t>
      </w:r>
    </w:p>
    <w:p>
      <w:pPr>
        <w:spacing w:after="0" w:line="276" w:lineRule="auto"/>
        <w:jc w:val="both"/>
        <w:rPr>
          <w:rFonts w:ascii="Arial" w:hAnsi="Arial" w:cs="Arial"/>
        </w:rPr>
      </w:pPr>
      <w:r>
        <w:rPr>
          <w:rFonts w:ascii="Arial" w:hAnsi="Arial" w:cs="Arial"/>
        </w:rPr>
        <w:tab/>
      </w:r>
      <w:r>
        <w:rPr>
          <w:rFonts w:ascii="Arial" w:hAnsi="Arial" w:cs="Arial"/>
        </w:rPr>
        <w:t>buenas condiciones.</w:t>
      </w:r>
    </w:p>
    <w:p>
      <w:pPr>
        <w:spacing w:after="0" w:line="276" w:lineRule="auto"/>
        <w:jc w:val="both"/>
        <w:rPr>
          <w:rFonts w:ascii="Arial" w:hAnsi="Arial" w:cs="Arial"/>
        </w:rPr>
      </w:pPr>
    </w:p>
    <w:p>
      <w:pPr>
        <w:spacing w:after="0" w:line="276" w:lineRule="auto"/>
        <w:jc w:val="both"/>
        <w:rPr>
          <w:rFonts w:ascii="Arial" w:hAnsi="Arial" w:cs="Arial"/>
        </w:rPr>
      </w:pPr>
      <w:r>
        <w:rPr>
          <w:rFonts w:ascii="Arial" w:hAnsi="Arial" w:cs="Arial"/>
        </w:rPr>
        <w:t xml:space="preserve">DISPOSICIÓN FINAL: Es el proceso de aislar y confinar los residuos sólidos en </w:t>
      </w:r>
      <w:r>
        <w:rPr>
          <w:rFonts w:ascii="Arial" w:hAnsi="Arial" w:cs="Arial"/>
        </w:rPr>
        <w:tab/>
      </w:r>
      <w:r>
        <w:rPr>
          <w:rFonts w:ascii="Arial" w:hAnsi="Arial" w:cs="Arial"/>
        </w:rPr>
        <w:t xml:space="preserve">especial los no aprovechables, en forma definitiva, en lugares especialmente </w:t>
      </w:r>
      <w:r>
        <w:rPr>
          <w:rFonts w:ascii="Arial" w:hAnsi="Arial" w:cs="Arial"/>
        </w:rPr>
        <w:tab/>
      </w:r>
      <w:r>
        <w:rPr>
          <w:rFonts w:ascii="Arial" w:hAnsi="Arial" w:cs="Arial"/>
        </w:rPr>
        <w:t xml:space="preserve">seleccionados y diseñados para evitar la contaminación, y los daños o </w:t>
      </w:r>
      <w:r>
        <w:rPr>
          <w:rFonts w:ascii="Arial" w:hAnsi="Arial" w:cs="Arial"/>
        </w:rPr>
        <w:tab/>
      </w:r>
      <w:r>
        <w:rPr>
          <w:rFonts w:ascii="Arial" w:hAnsi="Arial" w:cs="Arial"/>
        </w:rPr>
        <w:t>riesgos a la salud humana y al ambiente.</w:t>
      </w:r>
    </w:p>
    <w:p>
      <w:pPr>
        <w:spacing w:after="0" w:line="276" w:lineRule="auto"/>
        <w:jc w:val="both"/>
        <w:rPr>
          <w:rFonts w:ascii="Arial" w:hAnsi="Arial" w:cs="Arial"/>
        </w:rPr>
      </w:pPr>
    </w:p>
    <w:p>
      <w:pPr>
        <w:spacing w:after="0" w:line="276" w:lineRule="auto"/>
        <w:jc w:val="both"/>
        <w:rPr>
          <w:rFonts w:ascii="Arial" w:hAnsi="Arial" w:cs="Arial"/>
        </w:rPr>
      </w:pPr>
      <w:r>
        <w:rPr>
          <w:rFonts w:ascii="Arial" w:hAnsi="Arial" w:cs="Arial"/>
        </w:rPr>
        <w:t xml:space="preserve">RECICLAJE: Son los procesos mediante los cuales se aprovechan y </w:t>
      </w:r>
      <w:r>
        <w:rPr>
          <w:rFonts w:ascii="Arial" w:hAnsi="Arial" w:cs="Arial"/>
        </w:rPr>
        <w:tab/>
      </w:r>
      <w:r>
        <w:rPr>
          <w:rFonts w:ascii="Arial" w:hAnsi="Arial" w:cs="Arial"/>
        </w:rPr>
        <w:t xml:space="preserve">transforman los residuos recuperados y se devuelven a los materiales su </w:t>
      </w:r>
      <w:r>
        <w:rPr>
          <w:rFonts w:ascii="Arial" w:hAnsi="Arial" w:cs="Arial"/>
        </w:rPr>
        <w:tab/>
      </w:r>
      <w:r>
        <w:rPr>
          <w:rFonts w:ascii="Arial" w:hAnsi="Arial" w:cs="Arial"/>
        </w:rPr>
        <w:t xml:space="preserve">potencialidad de reincorporación como materia prima para la fabricación de </w:t>
      </w:r>
      <w:r>
        <w:rPr>
          <w:rFonts w:ascii="Arial" w:hAnsi="Arial" w:cs="Arial"/>
        </w:rPr>
        <w:tab/>
      </w:r>
      <w:r>
        <w:rPr>
          <w:rFonts w:ascii="Arial" w:hAnsi="Arial" w:cs="Arial"/>
        </w:rPr>
        <w:t>nuevos productos.</w:t>
      </w:r>
    </w:p>
    <w:p>
      <w:pPr>
        <w:spacing w:after="0" w:line="276" w:lineRule="auto"/>
        <w:jc w:val="both"/>
        <w:rPr>
          <w:rFonts w:ascii="Arial" w:hAnsi="Arial" w:cs="Arial"/>
        </w:rPr>
      </w:pPr>
    </w:p>
    <w:p>
      <w:pPr>
        <w:spacing w:after="0" w:line="276" w:lineRule="auto"/>
        <w:jc w:val="both"/>
        <w:rPr>
          <w:rFonts w:ascii="Arial" w:hAnsi="Arial" w:cs="Arial"/>
        </w:rPr>
      </w:pPr>
      <w:r>
        <w:rPr>
          <w:rFonts w:ascii="Arial" w:hAnsi="Arial" w:cs="Arial"/>
        </w:rPr>
        <w:t xml:space="preserve">RESIDUO O DESECHO PELIGROSO: Es aquel residuo o desecho que en  </w:t>
      </w:r>
    </w:p>
    <w:p>
      <w:pPr>
        <w:spacing w:after="0" w:line="276" w:lineRule="auto"/>
        <w:jc w:val="both"/>
        <w:rPr>
          <w:rFonts w:ascii="Arial" w:hAnsi="Arial" w:cs="Arial"/>
        </w:rPr>
      </w:pPr>
      <w:r>
        <w:rPr>
          <w:rFonts w:ascii="Arial" w:hAnsi="Arial" w:cs="Arial"/>
        </w:rPr>
        <w:tab/>
      </w:r>
      <w:r>
        <w:rPr>
          <w:rFonts w:ascii="Arial" w:hAnsi="Arial" w:cs="Arial"/>
        </w:rPr>
        <w:t xml:space="preserve">función de sus características corrosivas, reactivas, radioactivas, explosivas, </w:t>
      </w:r>
      <w:r>
        <w:rPr>
          <w:rFonts w:ascii="Arial" w:hAnsi="Arial" w:cs="Arial"/>
        </w:rPr>
        <w:tab/>
      </w:r>
      <w:r>
        <w:rPr>
          <w:rFonts w:ascii="Arial" w:hAnsi="Arial" w:cs="Arial"/>
        </w:rPr>
        <w:t xml:space="preserve">tóxicas, inflamables, biológicas e infecciosas puede causar riesgo para la </w:t>
      </w:r>
      <w:r>
        <w:rPr>
          <w:rFonts w:ascii="Arial" w:hAnsi="Arial" w:cs="Arial"/>
        </w:rPr>
        <w:tab/>
      </w:r>
      <w:r>
        <w:rPr>
          <w:rFonts w:ascii="Arial" w:hAnsi="Arial" w:cs="Arial"/>
        </w:rPr>
        <w:t>salud humana y/o deteriorar el ambiente.</w:t>
      </w:r>
    </w:p>
    <w:p>
      <w:pPr>
        <w:spacing w:after="0" w:line="276" w:lineRule="auto"/>
        <w:jc w:val="both"/>
        <w:rPr>
          <w:rFonts w:ascii="Arial" w:hAnsi="Arial" w:cs="Arial"/>
        </w:rPr>
      </w:pPr>
    </w:p>
    <w:p>
      <w:pPr>
        <w:spacing w:after="0" w:line="276" w:lineRule="auto"/>
        <w:jc w:val="both"/>
        <w:rPr>
          <w:rFonts w:ascii="Arial" w:hAnsi="Arial" w:cs="Arial"/>
        </w:rPr>
      </w:pPr>
      <w:r>
        <w:rPr>
          <w:rFonts w:ascii="Arial" w:hAnsi="Arial" w:cs="Arial"/>
        </w:rPr>
        <w:t xml:space="preserve">RESIDUOS DE APARATOS ELÉCTRICOS Y ELECTRÓNICOS (RAEE): Se refiere </w:t>
      </w:r>
      <w:r>
        <w:rPr>
          <w:rFonts w:ascii="Arial" w:hAnsi="Arial" w:cs="Arial"/>
        </w:rPr>
        <w:tab/>
      </w:r>
      <w:r>
        <w:rPr>
          <w:rFonts w:ascii="Arial" w:hAnsi="Arial" w:cs="Arial"/>
        </w:rPr>
        <w:t xml:space="preserve">a aparatos dañados, descartados u obsoletos que consumen </w:t>
      </w:r>
      <w:r>
        <w:rPr>
          <w:rFonts w:ascii="Arial" w:hAnsi="Arial" w:cs="Arial"/>
        </w:rPr>
        <w:tab/>
      </w:r>
      <w:r>
        <w:rPr>
          <w:rFonts w:ascii="Arial" w:hAnsi="Arial" w:cs="Arial"/>
        </w:rPr>
        <w:t xml:space="preserve">electricidad. Incluye una amplia gama de aparatos como computadores, </w:t>
      </w:r>
      <w:r>
        <w:rPr>
          <w:rFonts w:ascii="Arial" w:hAnsi="Arial" w:cs="Arial"/>
        </w:rPr>
        <w:tab/>
      </w:r>
      <w:r>
        <w:rPr>
          <w:rFonts w:ascii="Arial" w:hAnsi="Arial" w:cs="Arial"/>
        </w:rPr>
        <w:t xml:space="preserve">equipos electrónicos de consumo, celulares y electrodomésticos que ya no </w:t>
      </w:r>
      <w:r>
        <w:rPr>
          <w:rFonts w:ascii="Arial" w:hAnsi="Arial" w:cs="Arial"/>
        </w:rPr>
        <w:tab/>
      </w:r>
      <w:r>
        <w:rPr>
          <w:rFonts w:ascii="Arial" w:hAnsi="Arial" w:cs="Arial"/>
        </w:rPr>
        <w:t>son utilizados o deseados por sus usuarios.</w:t>
      </w:r>
    </w:p>
    <w:p>
      <w:pPr>
        <w:spacing w:after="0" w:line="276" w:lineRule="auto"/>
        <w:jc w:val="both"/>
        <w:rPr>
          <w:rFonts w:ascii="Arial" w:hAnsi="Arial" w:cs="Arial"/>
        </w:rPr>
      </w:pPr>
    </w:p>
    <w:p>
      <w:pPr>
        <w:spacing w:after="0" w:line="276" w:lineRule="auto"/>
        <w:jc w:val="both"/>
        <w:rPr>
          <w:rFonts w:ascii="Arial" w:hAnsi="Arial" w:cs="Arial"/>
        </w:rPr>
      </w:pPr>
      <w:r>
        <w:rPr>
          <w:rFonts w:ascii="Arial" w:hAnsi="Arial" w:cs="Arial"/>
        </w:rPr>
        <w:t xml:space="preserve">REÚSO: El reúso de un equipo eléctrico o electrónico se refiere a cualquier </w:t>
      </w:r>
      <w:r>
        <w:rPr>
          <w:rFonts w:ascii="Arial" w:hAnsi="Arial" w:cs="Arial"/>
        </w:rPr>
        <w:tab/>
      </w:r>
      <w:r>
        <w:rPr>
          <w:rFonts w:ascii="Arial" w:hAnsi="Arial" w:cs="Arial"/>
        </w:rPr>
        <w:t xml:space="preserve">utilización de un aparato o sus partes, después del primer usuario, en la </w:t>
      </w:r>
      <w:r>
        <w:rPr>
          <w:rFonts w:ascii="Arial" w:hAnsi="Arial" w:cs="Arial"/>
        </w:rPr>
        <w:tab/>
      </w:r>
      <w:r>
        <w:rPr>
          <w:rFonts w:ascii="Arial" w:hAnsi="Arial" w:cs="Arial"/>
        </w:rPr>
        <w:t>misma función para la que el aparato o parte fueron diseñados.</w:t>
      </w:r>
    </w:p>
    <w:p>
      <w:pPr>
        <w:spacing w:after="0" w:line="276" w:lineRule="auto"/>
        <w:jc w:val="both"/>
        <w:rPr>
          <w:rFonts w:ascii="Arial" w:hAnsi="Arial" w:cs="Arial"/>
        </w:rPr>
      </w:pPr>
    </w:p>
    <w:p>
      <w:pPr>
        <w:spacing w:after="0" w:line="276" w:lineRule="auto"/>
        <w:jc w:val="both"/>
        <w:rPr>
          <w:rFonts w:ascii="Arial" w:hAnsi="Arial" w:cs="Arial"/>
          <w:b/>
        </w:rPr>
      </w:pPr>
      <w:r>
        <w:rPr>
          <w:rFonts w:ascii="Arial" w:hAnsi="Arial" w:cs="Arial"/>
          <w:b/>
        </w:rPr>
        <w:t>RESPONSABLES</w:t>
      </w:r>
    </w:p>
    <w:p>
      <w:pPr>
        <w:spacing w:after="0" w:line="276" w:lineRule="auto"/>
        <w:jc w:val="both"/>
        <w:rPr>
          <w:rFonts w:ascii="Arial" w:hAnsi="Arial" w:cs="Arial"/>
        </w:rPr>
      </w:pPr>
    </w:p>
    <w:p>
      <w:pPr>
        <w:spacing w:after="0" w:line="276" w:lineRule="auto"/>
        <w:jc w:val="both"/>
        <w:rPr>
          <w:rFonts w:ascii="Arial" w:hAnsi="Arial" w:cs="Arial"/>
        </w:rPr>
      </w:pPr>
      <w:r>
        <w:rPr>
          <w:rFonts w:ascii="Arial" w:hAnsi="Arial" w:cs="Arial"/>
        </w:rPr>
        <w:t>Proceso de Gestión TIC, se encargará en generar el concepto técnico del estado de los equipos tecnológicos y de mantener copias de seguridad de la información relevante.</w:t>
      </w:r>
    </w:p>
    <w:p>
      <w:pPr>
        <w:spacing w:after="0" w:line="276" w:lineRule="auto"/>
        <w:jc w:val="both"/>
        <w:rPr>
          <w:rFonts w:ascii="Arial" w:hAnsi="Arial" w:cs="Arial"/>
        </w:rPr>
      </w:pPr>
    </w:p>
    <w:p>
      <w:pPr>
        <w:spacing w:after="0" w:line="276" w:lineRule="auto"/>
        <w:jc w:val="both"/>
        <w:rPr>
          <w:rFonts w:ascii="Arial" w:hAnsi="Arial" w:cs="Arial"/>
        </w:rPr>
      </w:pPr>
      <w:r>
        <w:rPr>
          <w:rFonts w:ascii="Arial" w:hAnsi="Arial" w:cs="Arial"/>
        </w:rPr>
        <w:t>Oficina de Planeación, se encargará de la aprobación de disposición final de los residuos tecnológicos, previo concepto del proceso de gestión de TIC y en coordinación con Almacén.</w:t>
      </w:r>
    </w:p>
    <w:p>
      <w:pPr>
        <w:spacing w:after="0" w:line="276" w:lineRule="auto"/>
        <w:jc w:val="both"/>
        <w:rPr>
          <w:rFonts w:ascii="Arial" w:hAnsi="Arial" w:cs="Arial"/>
        </w:rPr>
      </w:pPr>
    </w:p>
    <w:p>
      <w:pPr>
        <w:spacing w:after="0" w:line="276" w:lineRule="auto"/>
        <w:jc w:val="both"/>
        <w:rPr>
          <w:rFonts w:ascii="Arial" w:hAnsi="Arial" w:cs="Arial"/>
          <w:b/>
        </w:rPr>
      </w:pPr>
      <w:r>
        <w:rPr>
          <w:rFonts w:ascii="Arial" w:hAnsi="Arial" w:cs="Arial"/>
          <w:b/>
        </w:rPr>
        <w:t>DESARROLLO DEL PROGRAMA</w:t>
      </w:r>
    </w:p>
    <w:p>
      <w:pPr>
        <w:spacing w:after="0" w:line="276" w:lineRule="auto"/>
        <w:jc w:val="both"/>
        <w:rPr>
          <w:rFonts w:ascii="Arial" w:hAnsi="Arial" w:cs="Arial"/>
        </w:rPr>
      </w:pPr>
    </w:p>
    <w:p>
      <w:pPr>
        <w:spacing w:after="0" w:line="276" w:lineRule="auto"/>
        <w:jc w:val="both"/>
        <w:rPr>
          <w:rFonts w:ascii="Arial" w:hAnsi="Arial" w:cs="Arial"/>
          <w:b/>
        </w:rPr>
      </w:pPr>
      <w:r>
        <w:rPr>
          <w:rFonts w:ascii="Arial" w:hAnsi="Arial" w:cs="Arial"/>
          <w:b/>
        </w:rPr>
        <w:t>Identificación de Residuos Tecnológicos</w:t>
      </w:r>
    </w:p>
    <w:p>
      <w:pPr>
        <w:spacing w:after="0" w:line="276" w:lineRule="auto"/>
        <w:jc w:val="both"/>
        <w:rPr>
          <w:rFonts w:ascii="Arial" w:hAnsi="Arial" w:cs="Arial"/>
        </w:rPr>
      </w:pPr>
    </w:p>
    <w:p>
      <w:pPr>
        <w:spacing w:after="0" w:line="276" w:lineRule="auto"/>
        <w:jc w:val="both"/>
        <w:rPr>
          <w:rFonts w:ascii="Arial" w:hAnsi="Arial" w:cs="Arial"/>
        </w:rPr>
      </w:pPr>
      <w:r>
        <w:rPr>
          <w:rFonts w:ascii="Arial" w:hAnsi="Arial" w:cs="Arial"/>
        </w:rPr>
        <w:t>La identificación de los residuos tecnológicos se realiza por medio del personal de TIC y de los activos y equipos informáticos que se dan de baja. Esta identificación comprende equipos de informática y telecomunicaciones, así como otros aparatos electrónicos de consumo.</w:t>
      </w:r>
    </w:p>
    <w:p>
      <w:pPr>
        <w:spacing w:after="0" w:line="276" w:lineRule="auto"/>
        <w:jc w:val="both"/>
        <w:rPr>
          <w:rFonts w:ascii="Arial" w:hAnsi="Arial" w:cs="Arial"/>
        </w:rPr>
      </w:pPr>
    </w:p>
    <w:tbl>
      <w:tblPr>
        <w:tblStyle w:val="13"/>
        <w:tblW w:w="6699"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69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51" w:hRule="atLeast"/>
          <w:jc w:val="center"/>
        </w:trPr>
        <w:tc>
          <w:tcPr>
            <w:tcW w:w="6699" w:type="dxa"/>
            <w:shd w:val="clear" w:color="auto" w:fill="D9D9D9"/>
          </w:tcPr>
          <w:p>
            <w:pPr>
              <w:spacing w:after="0" w:line="276" w:lineRule="auto"/>
              <w:jc w:val="center"/>
              <w:rPr>
                <w:rFonts w:ascii="Arial" w:hAnsi="Arial" w:cs="Arial"/>
                <w:b/>
              </w:rPr>
            </w:pPr>
            <w:r>
              <w:rPr>
                <w:rFonts w:ascii="Arial" w:hAnsi="Arial" w:cs="Arial"/>
                <w:b/>
              </w:rPr>
              <w:t>Residuos tecnológicos generados en la entidad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186" w:hRule="atLeast"/>
          <w:jc w:val="center"/>
        </w:trPr>
        <w:tc>
          <w:tcPr>
            <w:tcW w:w="6699" w:type="dxa"/>
          </w:tcPr>
          <w:p>
            <w:pPr>
              <w:spacing w:after="0" w:line="276" w:lineRule="auto"/>
              <w:jc w:val="both"/>
              <w:rPr>
                <w:rFonts w:ascii="Arial" w:hAnsi="Arial" w:cs="Arial"/>
              </w:rPr>
            </w:pPr>
            <w:r>
              <w:rPr>
                <w:rFonts w:ascii="Arial" w:hAnsi="Arial" w:cs="Arial"/>
              </w:rPr>
              <w:t>Computadores de escritorio, computadores portátiles, teléfonos fijos y celulares, agendas electrónicas, máquinas de escribir eléctricas y electrónicas, máquinas de fax, fotocopiadoras, impresoras,</w:t>
            </w:r>
          </w:p>
          <w:p>
            <w:pPr>
              <w:spacing w:after="0" w:line="276" w:lineRule="auto"/>
              <w:jc w:val="both"/>
              <w:rPr>
                <w:rFonts w:ascii="Arial" w:hAnsi="Arial" w:cs="Arial"/>
              </w:rPr>
            </w:pPr>
            <w:r>
              <w:rPr>
                <w:rFonts w:ascii="Arial" w:hAnsi="Arial" w:cs="Arial"/>
              </w:rPr>
              <w:t>calculadoras, etc.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5" w:hRule="atLeast"/>
          <w:jc w:val="center"/>
        </w:trPr>
        <w:tc>
          <w:tcPr>
            <w:tcW w:w="6699" w:type="dxa"/>
          </w:tcPr>
          <w:p>
            <w:pPr>
              <w:spacing w:after="0" w:line="276" w:lineRule="auto"/>
              <w:jc w:val="both"/>
              <w:rPr>
                <w:rFonts w:ascii="Arial" w:hAnsi="Arial" w:cs="Arial"/>
              </w:rPr>
            </w:pPr>
            <w:r>
              <w:rPr>
                <w:rFonts w:ascii="Arial" w:hAnsi="Arial" w:cs="Arial"/>
              </w:rPr>
              <w:t>Cartuchos o tóneres de impresoras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103" w:hRule="atLeast"/>
          <w:jc w:val="center"/>
        </w:trPr>
        <w:tc>
          <w:tcPr>
            <w:tcW w:w="6699" w:type="dxa"/>
          </w:tcPr>
          <w:p>
            <w:pPr>
              <w:spacing w:after="0" w:line="276" w:lineRule="auto"/>
              <w:jc w:val="both"/>
              <w:rPr>
                <w:rFonts w:ascii="Arial" w:hAnsi="Arial" w:cs="Arial"/>
              </w:rPr>
            </w:pPr>
            <w:r>
              <w:rPr>
                <w:rFonts w:ascii="Arial" w:hAnsi="Arial" w:cs="Arial"/>
              </w:rPr>
              <w:t>Radios, televisores, reproductores de VCR/DVD/CD, cámaras de video, instrumentos</w:t>
            </w:r>
            <w:r>
              <w:rPr>
                <w:rFonts w:ascii="Arial" w:hAnsi="Arial" w:cs="Arial"/>
              </w:rPr>
              <w:tab/>
            </w:r>
            <w:r>
              <w:rPr>
                <w:rFonts w:ascii="Arial" w:hAnsi="Arial" w:cs="Arial"/>
              </w:rPr>
              <w:t>musicales, amplificadores de sonido, etc.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827" w:hRule="atLeast"/>
          <w:jc w:val="center"/>
        </w:trPr>
        <w:tc>
          <w:tcPr>
            <w:tcW w:w="6699" w:type="dxa"/>
          </w:tcPr>
          <w:p>
            <w:pPr>
              <w:spacing w:after="0" w:line="276" w:lineRule="auto"/>
              <w:jc w:val="both"/>
              <w:rPr>
                <w:rFonts w:ascii="Arial" w:hAnsi="Arial" w:cs="Arial"/>
              </w:rPr>
            </w:pPr>
            <w:r>
              <w:rPr>
                <w:rFonts w:ascii="Arial" w:hAnsi="Arial" w:cs="Arial"/>
              </w:rPr>
              <w:t>Pilas y baterías (UPS y demás equipo que solicite uso de pilas o baterías)</w:t>
            </w:r>
          </w:p>
        </w:tc>
      </w:tr>
    </w:tbl>
    <w:p>
      <w:pPr>
        <w:spacing w:after="0" w:line="276" w:lineRule="auto"/>
        <w:jc w:val="both"/>
        <w:rPr>
          <w:rFonts w:ascii="Arial" w:hAnsi="Arial" w:cs="Arial"/>
        </w:rPr>
      </w:pPr>
    </w:p>
    <w:p>
      <w:pPr>
        <w:spacing w:after="0" w:line="276" w:lineRule="auto"/>
        <w:jc w:val="both"/>
        <w:rPr>
          <w:rFonts w:ascii="Arial" w:hAnsi="Arial" w:cs="Arial"/>
          <w:b/>
        </w:rPr>
      </w:pPr>
      <w:r>
        <w:rPr>
          <w:rFonts w:ascii="Arial" w:hAnsi="Arial" w:cs="Arial"/>
          <w:b/>
        </w:rPr>
        <w:t>RECOLECCIÓN Y ALMACENAMIENTO DE RAEE</w:t>
      </w:r>
    </w:p>
    <w:p>
      <w:pPr>
        <w:spacing w:after="0" w:line="276" w:lineRule="auto"/>
        <w:jc w:val="both"/>
        <w:rPr>
          <w:rFonts w:ascii="Arial" w:hAnsi="Arial" w:cs="Arial"/>
        </w:rPr>
      </w:pPr>
    </w:p>
    <w:p>
      <w:pPr>
        <w:spacing w:after="0" w:line="276" w:lineRule="auto"/>
        <w:jc w:val="both"/>
        <w:rPr>
          <w:rFonts w:ascii="Arial" w:hAnsi="Arial" w:cs="Arial"/>
        </w:rPr>
      </w:pPr>
      <w:r>
        <w:rPr>
          <w:rFonts w:ascii="Arial" w:hAnsi="Arial" w:cs="Arial"/>
        </w:rPr>
        <w:t xml:space="preserve">Posterior a la identificación y acopio de los residuos tecnológicos, la </w:t>
      </w:r>
      <w:r>
        <w:rPr>
          <w:rFonts w:ascii="Arial" w:hAnsi="Arial" w:cs="Arial"/>
          <w:highlight w:val="yellow"/>
        </w:rPr>
        <w:t>entidad de contactar a las empresas</w:t>
      </w:r>
      <w:r>
        <w:rPr>
          <w:rFonts w:ascii="Arial" w:hAnsi="Arial" w:cs="Arial"/>
        </w:rPr>
        <w:t xml:space="preserve"> aliadas recolectoras de los RAEE, cuya misión sea recolectar residuos tecnológicos y haga entrega del certificado de disposición final, con el fin de garantizar que su manejo será adecuado, de acuerdo a las políticas ambientales colombianas.</w:t>
      </w:r>
    </w:p>
    <w:p>
      <w:pPr>
        <w:spacing w:after="0" w:line="276" w:lineRule="auto"/>
        <w:jc w:val="both"/>
        <w:rPr>
          <w:rFonts w:ascii="Arial" w:hAnsi="Arial" w:cs="Arial"/>
        </w:rPr>
      </w:pPr>
    </w:p>
    <w:p>
      <w:pPr>
        <w:spacing w:after="0" w:line="276" w:lineRule="auto"/>
        <w:jc w:val="both"/>
        <w:rPr>
          <w:rFonts w:ascii="Arial" w:hAnsi="Arial" w:cs="Arial"/>
        </w:rPr>
      </w:pPr>
      <w:r>
        <w:rPr>
          <w:rFonts w:ascii="Arial" w:hAnsi="Arial" w:cs="Arial"/>
        </w:rPr>
        <w:t>Se debe establecer con la empresa recolectora un punto de recolección de estos residuos en la Aguas del Huila S.A E.S.P, en el cual se hará de compuesto de cajas metálicas de rejas de almacenamiento y protector de la base de la caja para evitar riesgos de sustancias</w:t>
      </w:r>
      <w:r>
        <w:rPr>
          <w:rFonts w:ascii="Arial" w:hAnsi="Arial" w:cs="Arial"/>
        </w:rPr>
        <w:tab/>
      </w:r>
      <w:r>
        <w:rPr>
          <w:rFonts w:ascii="Arial" w:hAnsi="Arial" w:cs="Arial"/>
        </w:rPr>
        <w:t>toxicas</w:t>
      </w:r>
      <w:r>
        <w:rPr>
          <w:rFonts w:ascii="Arial" w:hAnsi="Arial" w:cs="Arial"/>
        </w:rPr>
        <w:tab/>
      </w:r>
      <w:r>
        <w:rPr>
          <w:rFonts w:ascii="Arial" w:hAnsi="Arial" w:cs="Arial"/>
        </w:rPr>
        <w:t>que libera estos residuos, el sitio para dejar ese almacenamiento será en las instalaciones del Almacén Municipal que cuenta con las normas exigidas para el almacenamiento de estos residuos, con el propósito de que los funcionarios de la administración municipal dejen allí sus elementos relacionados al tipo de categoría recolectada.</w:t>
      </w:r>
    </w:p>
    <w:p>
      <w:pPr>
        <w:spacing w:after="0" w:line="276" w:lineRule="auto"/>
        <w:jc w:val="both"/>
        <w:rPr>
          <w:rFonts w:ascii="Arial" w:hAnsi="Arial" w:cs="Arial"/>
        </w:rPr>
      </w:pPr>
    </w:p>
    <w:p>
      <w:pPr>
        <w:spacing w:after="0" w:line="276" w:lineRule="auto"/>
        <w:jc w:val="both"/>
        <w:rPr>
          <w:rFonts w:ascii="Arial" w:hAnsi="Arial" w:cs="Arial"/>
          <w:b/>
        </w:rPr>
      </w:pPr>
      <w:r>
        <w:rPr>
          <w:rFonts w:ascii="Arial" w:hAnsi="Arial" w:cs="Arial"/>
          <w:b/>
        </w:rPr>
        <w:t>Conceptos técnicos</w:t>
      </w:r>
    </w:p>
    <w:p>
      <w:pPr>
        <w:spacing w:after="0" w:line="276" w:lineRule="auto"/>
        <w:jc w:val="both"/>
        <w:rPr>
          <w:rFonts w:ascii="Arial" w:hAnsi="Arial" w:cs="Arial"/>
        </w:rPr>
      </w:pPr>
    </w:p>
    <w:p>
      <w:pPr>
        <w:spacing w:after="0" w:line="276" w:lineRule="auto"/>
        <w:jc w:val="both"/>
        <w:rPr>
          <w:rFonts w:ascii="Arial" w:hAnsi="Arial" w:cs="Arial"/>
        </w:rPr>
      </w:pPr>
      <w:r>
        <w:rPr>
          <w:rFonts w:ascii="Arial" w:hAnsi="Arial" w:cs="Arial"/>
        </w:rPr>
        <w:t>El personal encargado de la Gestión TIC es encargado de realizar mantenimientos preventivos y correctivos de los equipos tecnológicos de la entidad mediante el desarrollo del Plan de Mantenimiento de Recursos Físicos, donde se verifica e identifica el funcionamiento de cada uno de los equipos tecnológicos con los que cuenta la entidad. De acuerdo a lo anterior, en el procedimiento de mantenimientos preventivos y correctivos se lleva acabo lo siguiente:</w:t>
      </w:r>
    </w:p>
    <w:p>
      <w:pPr>
        <w:spacing w:after="0" w:line="276" w:lineRule="auto"/>
        <w:jc w:val="both"/>
        <w:rPr>
          <w:rFonts w:ascii="Arial" w:hAnsi="Arial" w:cs="Arial"/>
        </w:rPr>
      </w:pPr>
    </w:p>
    <w:p>
      <w:pPr>
        <w:spacing w:after="0" w:line="276" w:lineRule="auto"/>
        <w:jc w:val="both"/>
        <w:rPr>
          <w:rFonts w:ascii="Arial" w:hAnsi="Arial" w:cs="Arial"/>
        </w:rPr>
      </w:pPr>
      <w:r>
        <w:rPr>
          <w:rFonts w:ascii="Arial" w:hAnsi="Arial" w:cs="Arial"/>
        </w:rPr>
        <w:t>Revisar si el equipo presenta problema de funcionamiento o daño en su parte de hardware.</w:t>
      </w:r>
    </w:p>
    <w:p>
      <w:pPr>
        <w:spacing w:after="0" w:line="276" w:lineRule="auto"/>
        <w:jc w:val="both"/>
        <w:rPr>
          <w:rFonts w:ascii="Arial" w:hAnsi="Arial" w:cs="Arial"/>
        </w:rPr>
      </w:pPr>
    </w:p>
    <w:p>
      <w:pPr>
        <w:spacing w:after="0" w:line="276" w:lineRule="auto"/>
        <w:jc w:val="both"/>
        <w:rPr>
          <w:rFonts w:ascii="Arial" w:hAnsi="Arial" w:cs="Arial"/>
        </w:rPr>
      </w:pPr>
      <w:r>
        <w:rPr>
          <w:rFonts w:ascii="Arial" w:hAnsi="Arial" w:cs="Arial"/>
        </w:rPr>
        <w:t>Se determina si puede ser corregido o si se requiere cambio parcial o total de la parte dañada. En el caso de que la parte dañada sea un daño leve se corregirá inmediatamente, de lo contrario se requerirá el cambio de la parte según la disponibilidad de repuestos e insumos.</w:t>
      </w:r>
    </w:p>
    <w:p>
      <w:pPr>
        <w:spacing w:after="0" w:line="276" w:lineRule="auto"/>
        <w:jc w:val="both"/>
        <w:rPr>
          <w:rFonts w:ascii="Arial" w:hAnsi="Arial" w:cs="Arial"/>
        </w:rPr>
      </w:pPr>
    </w:p>
    <w:p>
      <w:pPr>
        <w:spacing w:after="0" w:line="276" w:lineRule="auto"/>
        <w:jc w:val="both"/>
        <w:rPr>
          <w:rFonts w:ascii="Arial" w:hAnsi="Arial" w:cs="Arial"/>
        </w:rPr>
      </w:pPr>
      <w:r>
        <w:rPr>
          <w:rFonts w:ascii="Arial" w:hAnsi="Arial" w:cs="Arial"/>
        </w:rPr>
        <w:t>En caso de no tener corrección o reparación, proceder a disposición del equipo informático, según lo establecido en almacén.</w:t>
      </w:r>
    </w:p>
    <w:p>
      <w:pPr>
        <w:spacing w:after="0" w:line="276" w:lineRule="auto"/>
        <w:jc w:val="both"/>
        <w:rPr>
          <w:rFonts w:ascii="Arial" w:hAnsi="Arial" w:cs="Arial"/>
        </w:rPr>
      </w:pPr>
    </w:p>
    <w:p>
      <w:pPr>
        <w:spacing w:after="0" w:line="276" w:lineRule="auto"/>
        <w:jc w:val="both"/>
        <w:rPr>
          <w:rFonts w:ascii="Arial" w:hAnsi="Arial" w:cs="Arial"/>
          <w:b/>
        </w:rPr>
      </w:pPr>
      <w:r>
        <w:rPr>
          <w:rFonts w:ascii="Arial" w:hAnsi="Arial" w:cs="Arial"/>
          <w:b/>
        </w:rPr>
        <w:t>TRANSPORTE Y LOGÍSTICA</w:t>
      </w:r>
    </w:p>
    <w:p>
      <w:pPr>
        <w:spacing w:after="0" w:line="276" w:lineRule="auto"/>
        <w:jc w:val="both"/>
        <w:rPr>
          <w:rFonts w:ascii="Arial" w:hAnsi="Arial" w:cs="Arial"/>
        </w:rPr>
      </w:pPr>
    </w:p>
    <w:p>
      <w:pPr>
        <w:spacing w:after="0" w:line="276" w:lineRule="auto"/>
        <w:jc w:val="both"/>
        <w:rPr>
          <w:rFonts w:ascii="Arial" w:hAnsi="Arial" w:cs="Arial"/>
        </w:rPr>
      </w:pPr>
      <w:r>
        <w:rPr>
          <w:rFonts w:ascii="Arial" w:hAnsi="Arial" w:cs="Arial"/>
        </w:rPr>
        <w:t>Para la ejecución del transporte de RAEE a su disposición final, Aguas del Huila S.A E.S.P realizará los procedimientos contractuales necesarios. El contratista que sea seleccionado para el transporte y logística de RAEE debe dar cumplimiento a los siguientes requisitos técnicos, teniendo en cuenta los lineamientos establecidos por el Ministerio de Ambiente y Desarrollo Sostenible (MADS) en su Política Nacional de Gestión Integral de RAEE.</w:t>
      </w:r>
    </w:p>
    <w:p>
      <w:pPr>
        <w:spacing w:after="0" w:line="276" w:lineRule="auto"/>
        <w:jc w:val="both"/>
        <w:rPr>
          <w:rFonts w:ascii="Arial" w:hAnsi="Arial" w:cs="Arial"/>
        </w:rPr>
      </w:pPr>
    </w:p>
    <w:p>
      <w:pPr>
        <w:spacing w:after="0" w:line="276" w:lineRule="auto"/>
        <w:jc w:val="both"/>
        <w:rPr>
          <w:rFonts w:ascii="Arial" w:hAnsi="Arial" w:cs="Arial"/>
          <w:b/>
        </w:rPr>
      </w:pPr>
      <w:r>
        <w:rPr>
          <w:rFonts w:ascii="Arial" w:hAnsi="Arial" w:cs="Arial"/>
          <w:b/>
        </w:rPr>
        <w:t>DISPOSICIÓN FINAL</w:t>
      </w:r>
      <w:bookmarkStart w:id="0" w:name="_GoBack"/>
      <w:bookmarkEnd w:id="0"/>
    </w:p>
    <w:p>
      <w:pPr>
        <w:spacing w:after="0" w:line="276" w:lineRule="auto"/>
        <w:jc w:val="both"/>
        <w:rPr>
          <w:rFonts w:ascii="Arial" w:hAnsi="Arial" w:cs="Arial"/>
        </w:rPr>
      </w:pPr>
    </w:p>
    <w:p>
      <w:pPr>
        <w:spacing w:after="0" w:line="276" w:lineRule="auto"/>
        <w:jc w:val="both"/>
        <w:rPr>
          <w:rFonts w:ascii="Arial" w:hAnsi="Arial" w:cs="Arial"/>
        </w:rPr>
      </w:pPr>
      <w:r>
        <w:rPr>
          <w:rFonts w:ascii="Arial" w:hAnsi="Arial" w:cs="Arial"/>
        </w:rPr>
        <w:t>Para la ejecución del transporte de disposición final de los RAEE, la Aguas del Huila S.A E.S.P realizará los procedimientos contractuales necesarios o convenios interadministrativos con empresas certificadas para esta labor. El contratista que sea seleccionado debe dar cumplimiento a los lineamientos técnicos establecidos por el Ministerio de Ambiente y Desarrollo Sostenible y hacer entrega de la certificación de disposición final a Aguas del Huila S.A E.S.P.</w:t>
      </w:r>
    </w:p>
    <w:p>
      <w:pPr>
        <w:spacing w:after="0" w:line="276" w:lineRule="auto"/>
        <w:jc w:val="both"/>
        <w:rPr>
          <w:rFonts w:ascii="Arial" w:hAnsi="Arial" w:cs="Arial"/>
        </w:rPr>
      </w:pPr>
    </w:p>
    <w:p>
      <w:pPr>
        <w:spacing w:after="0" w:line="276" w:lineRule="auto"/>
        <w:jc w:val="both"/>
        <w:rPr>
          <w:rFonts w:ascii="Arial" w:hAnsi="Arial" w:cs="Arial"/>
          <w:b/>
        </w:rPr>
      </w:pPr>
      <w:r>
        <w:rPr>
          <w:rFonts w:ascii="Arial" w:hAnsi="Arial" w:cs="Arial"/>
          <w:b/>
        </w:rPr>
        <w:t>COMUNICACIÓN Y DIVULGACIÓN DEL PROGRAMA</w:t>
      </w:r>
    </w:p>
    <w:p>
      <w:pPr>
        <w:spacing w:after="0" w:line="276" w:lineRule="auto"/>
        <w:jc w:val="both"/>
        <w:rPr>
          <w:rFonts w:ascii="Arial" w:hAnsi="Arial" w:cs="Arial"/>
        </w:rPr>
      </w:pPr>
    </w:p>
    <w:p>
      <w:pPr>
        <w:spacing w:after="0" w:line="276" w:lineRule="auto"/>
        <w:jc w:val="both"/>
        <w:rPr>
          <w:rFonts w:ascii="Arial" w:hAnsi="Arial" w:cs="Arial"/>
        </w:rPr>
      </w:pPr>
      <w:r>
        <w:rPr>
          <w:rFonts w:ascii="Arial" w:hAnsi="Arial" w:cs="Arial"/>
        </w:rPr>
        <w:t>Para la comunicación y divulgación del Programa de Disposición de Residuos Tecnológicos se realizarán las siguientes actividades:</w:t>
      </w:r>
    </w:p>
    <w:p>
      <w:pPr>
        <w:spacing w:after="0" w:line="276" w:lineRule="auto"/>
        <w:jc w:val="both"/>
        <w:rPr>
          <w:rFonts w:ascii="Arial" w:hAnsi="Arial" w:cs="Arial"/>
        </w:rPr>
      </w:pPr>
    </w:p>
    <w:p>
      <w:pPr>
        <w:spacing w:after="0" w:line="276" w:lineRule="auto"/>
        <w:jc w:val="both"/>
        <w:rPr>
          <w:rFonts w:ascii="Arial" w:hAnsi="Arial" w:cs="Arial"/>
        </w:rPr>
      </w:pPr>
      <w:r>
        <w:rPr>
          <w:rFonts w:ascii="Arial" w:hAnsi="Arial" w:cs="Arial"/>
        </w:rPr>
        <w:t>Publicación y difusión de mensajes sobre la importancia de la correcta disposición de este tipo de residuos. Para esto se utilizará la cartelera de la entidad y la Extranet, así como la página web.</w:t>
      </w:r>
    </w:p>
    <w:p>
      <w:pPr>
        <w:spacing w:after="0" w:line="276" w:lineRule="auto"/>
        <w:jc w:val="both"/>
        <w:rPr>
          <w:rFonts w:ascii="Arial" w:hAnsi="Arial" w:cs="Arial"/>
        </w:rPr>
      </w:pPr>
    </w:p>
    <w:p>
      <w:pPr>
        <w:spacing w:after="0" w:line="276" w:lineRule="auto"/>
        <w:jc w:val="both"/>
        <w:rPr>
          <w:rFonts w:ascii="Arial" w:hAnsi="Arial" w:cs="Arial"/>
        </w:rPr>
      </w:pPr>
    </w:p>
    <w:p>
      <w:pPr>
        <w:spacing w:after="0" w:line="276" w:lineRule="auto"/>
        <w:jc w:val="both"/>
        <w:rPr>
          <w:rFonts w:ascii="Arial" w:hAnsi="Arial" w:cs="Arial"/>
        </w:rPr>
      </w:pPr>
    </w:p>
    <w:p>
      <w:pPr>
        <w:spacing w:after="0" w:line="276" w:lineRule="auto"/>
        <w:jc w:val="both"/>
        <w:rPr>
          <w:rFonts w:ascii="Arial" w:hAnsi="Arial" w:cs="Arial"/>
        </w:rPr>
      </w:pPr>
    </w:p>
    <w:p>
      <w:pPr>
        <w:spacing w:after="0" w:line="276" w:lineRule="auto"/>
        <w:jc w:val="both"/>
        <w:rPr>
          <w:rFonts w:ascii="Arial" w:hAnsi="Arial" w:cs="Arial"/>
        </w:rPr>
      </w:pPr>
    </w:p>
    <w:p>
      <w:pPr>
        <w:spacing w:after="0" w:line="276" w:lineRule="auto"/>
        <w:jc w:val="both"/>
        <w:rPr>
          <w:rFonts w:ascii="Arial" w:hAnsi="Arial" w:cs="Arial"/>
        </w:rPr>
      </w:pPr>
    </w:p>
    <w:p>
      <w:pPr>
        <w:spacing w:after="0" w:line="276" w:lineRule="auto"/>
        <w:jc w:val="both"/>
        <w:rPr>
          <w:rFonts w:ascii="Arial" w:hAnsi="Arial" w:cs="Arial"/>
        </w:rPr>
      </w:pPr>
    </w:p>
    <w:p>
      <w:pPr>
        <w:spacing w:after="0" w:line="276" w:lineRule="auto"/>
        <w:jc w:val="both"/>
        <w:rPr>
          <w:rFonts w:ascii="Arial" w:hAnsi="Arial" w:cs="Arial"/>
        </w:rPr>
      </w:pPr>
      <w:r>
        <w:rPr>
          <w:rFonts w:ascii="Arial" w:hAnsi="Arial" w:cs="Arial"/>
        </w:rPr>
        <w:t>Eventos de socialización a los funcionarios en las jornadas de capacitación establecidas en el Plan de Capacitaciones de la Entidad.</w:t>
      </w:r>
    </w:p>
    <w:p>
      <w:pPr>
        <w:spacing w:after="0" w:line="276" w:lineRule="auto"/>
        <w:jc w:val="both"/>
        <w:rPr>
          <w:rFonts w:ascii="Arial" w:hAnsi="Arial" w:cs="Arial"/>
        </w:rPr>
      </w:pPr>
    </w:p>
    <w:p>
      <w:pPr>
        <w:spacing w:after="0" w:line="276" w:lineRule="auto"/>
        <w:jc w:val="both"/>
        <w:rPr>
          <w:rFonts w:ascii="Arial" w:hAnsi="Arial" w:cs="Arial"/>
        </w:rPr>
      </w:pPr>
      <w:r>
        <w:rPr>
          <w:rFonts w:ascii="Arial" w:hAnsi="Arial" w:cs="Arial"/>
        </w:rPr>
        <w:t>Estas actividades serán realizadas dos veces en el año, como mínimo.</w:t>
      </w:r>
    </w:p>
    <w:p>
      <w:pPr>
        <w:spacing w:after="0" w:line="276" w:lineRule="auto"/>
        <w:jc w:val="both"/>
        <w:rPr>
          <w:rFonts w:ascii="Arial" w:hAnsi="Arial" w:cs="Arial"/>
        </w:rPr>
      </w:pPr>
    </w:p>
    <w:p>
      <w:pPr>
        <w:spacing w:after="0" w:line="276" w:lineRule="auto"/>
        <w:jc w:val="both"/>
        <w:rPr>
          <w:rFonts w:ascii="Arial" w:hAnsi="Arial" w:cs="Arial"/>
          <w:b/>
        </w:rPr>
      </w:pPr>
      <w:r>
        <w:rPr>
          <w:rFonts w:ascii="Arial" w:hAnsi="Arial" w:cs="Arial"/>
          <w:b/>
        </w:rPr>
        <w:t>CONTROL DE CAMBIOS</w:t>
      </w:r>
    </w:p>
    <w:p>
      <w:pPr>
        <w:spacing w:after="0" w:line="276" w:lineRule="auto"/>
        <w:jc w:val="both"/>
        <w:rPr>
          <w:rFonts w:ascii="Arial" w:hAnsi="Arial" w:cs="Arial"/>
        </w:rPr>
      </w:pPr>
    </w:p>
    <w:tbl>
      <w:tblPr>
        <w:tblStyle w:val="13"/>
        <w:tblW w:w="8895" w:type="dxa"/>
        <w:jc w:val="center"/>
        <w:tblInd w:w="0" w:type="dxa"/>
        <w:tblLayout w:type="fixed"/>
        <w:tblCellMar>
          <w:top w:w="0" w:type="dxa"/>
          <w:left w:w="70" w:type="dxa"/>
          <w:bottom w:w="0" w:type="dxa"/>
          <w:right w:w="70" w:type="dxa"/>
        </w:tblCellMar>
      </w:tblPr>
      <w:tblGrid>
        <w:gridCol w:w="5524"/>
        <w:gridCol w:w="1536"/>
        <w:gridCol w:w="1835"/>
      </w:tblGrid>
      <w:tr>
        <w:tblPrEx>
          <w:tblLayout w:type="fixed"/>
          <w:tblCellMar>
            <w:top w:w="0" w:type="dxa"/>
            <w:left w:w="70" w:type="dxa"/>
            <w:bottom w:w="0" w:type="dxa"/>
            <w:right w:w="70" w:type="dxa"/>
          </w:tblCellMar>
        </w:tblPrEx>
        <w:trPr>
          <w:trHeight w:val="248" w:hRule="atLeast"/>
          <w:jc w:val="center"/>
        </w:trPr>
        <w:tc>
          <w:tcPr>
            <w:tcW w:w="5524" w:type="dxa"/>
            <w:tcBorders>
              <w:top w:val="single" w:color="auto" w:sz="4" w:space="0"/>
              <w:left w:val="single" w:color="auto" w:sz="4" w:space="0"/>
              <w:bottom w:val="single" w:color="auto" w:sz="4" w:space="0"/>
              <w:right w:val="single" w:color="auto" w:sz="4" w:space="0"/>
            </w:tcBorders>
            <w:shd w:val="clear" w:color="auto" w:fill="auto"/>
            <w:noWrap/>
            <w:vAlign w:val="bottom"/>
          </w:tcPr>
          <w:p>
            <w:pPr>
              <w:spacing w:after="0" w:line="276" w:lineRule="auto"/>
              <w:jc w:val="both"/>
              <w:rPr>
                <w:rFonts w:ascii="Arial" w:hAnsi="Arial" w:cs="Arial"/>
              </w:rPr>
            </w:pPr>
            <w:r>
              <w:rPr>
                <w:rFonts w:ascii="Arial" w:hAnsi="Arial" w:cs="Arial"/>
              </w:rPr>
              <w:t>DESCRIPCION DE CAMBIOS</w:t>
            </w:r>
          </w:p>
        </w:tc>
        <w:tc>
          <w:tcPr>
            <w:tcW w:w="1536" w:type="dxa"/>
            <w:tcBorders>
              <w:top w:val="single" w:color="auto" w:sz="4" w:space="0"/>
              <w:left w:val="nil"/>
              <w:bottom w:val="single" w:color="auto" w:sz="4" w:space="0"/>
              <w:right w:val="single" w:color="auto" w:sz="4" w:space="0"/>
            </w:tcBorders>
            <w:shd w:val="clear" w:color="auto" w:fill="auto"/>
            <w:noWrap/>
            <w:vAlign w:val="bottom"/>
          </w:tcPr>
          <w:p>
            <w:pPr>
              <w:spacing w:after="0" w:line="276" w:lineRule="auto"/>
              <w:jc w:val="both"/>
              <w:rPr>
                <w:rFonts w:ascii="Arial" w:hAnsi="Arial" w:cs="Arial"/>
              </w:rPr>
            </w:pPr>
            <w:r>
              <w:rPr>
                <w:rFonts w:ascii="Arial" w:hAnsi="Arial" w:cs="Arial"/>
              </w:rPr>
              <w:t>VERSIÓN</w:t>
            </w:r>
          </w:p>
        </w:tc>
        <w:tc>
          <w:tcPr>
            <w:tcW w:w="1835" w:type="dxa"/>
            <w:tcBorders>
              <w:top w:val="single" w:color="auto" w:sz="4" w:space="0"/>
              <w:left w:val="nil"/>
              <w:bottom w:val="single" w:color="auto" w:sz="4" w:space="0"/>
              <w:right w:val="single" w:color="auto" w:sz="4" w:space="0"/>
            </w:tcBorders>
            <w:shd w:val="clear" w:color="auto" w:fill="auto"/>
            <w:noWrap/>
            <w:vAlign w:val="bottom"/>
          </w:tcPr>
          <w:p>
            <w:pPr>
              <w:spacing w:after="0" w:line="276" w:lineRule="auto"/>
              <w:jc w:val="both"/>
              <w:rPr>
                <w:rFonts w:ascii="Arial" w:hAnsi="Arial" w:cs="Arial"/>
              </w:rPr>
            </w:pPr>
            <w:r>
              <w:rPr>
                <w:rFonts w:ascii="Arial" w:hAnsi="Arial" w:cs="Arial"/>
              </w:rPr>
              <w:t>FECHA</w:t>
            </w:r>
          </w:p>
        </w:tc>
      </w:tr>
      <w:tr>
        <w:tblPrEx>
          <w:tblLayout w:type="fixed"/>
          <w:tblCellMar>
            <w:top w:w="0" w:type="dxa"/>
            <w:left w:w="70" w:type="dxa"/>
            <w:bottom w:w="0" w:type="dxa"/>
            <w:right w:w="70" w:type="dxa"/>
          </w:tblCellMar>
        </w:tblPrEx>
        <w:trPr>
          <w:trHeight w:val="248" w:hRule="atLeast"/>
          <w:jc w:val="center"/>
        </w:trPr>
        <w:tc>
          <w:tcPr>
            <w:tcW w:w="5524" w:type="dxa"/>
            <w:tcBorders>
              <w:top w:val="single" w:color="auto" w:sz="4" w:space="0"/>
              <w:left w:val="single" w:color="auto" w:sz="4" w:space="0"/>
              <w:bottom w:val="single" w:color="auto" w:sz="4" w:space="0"/>
              <w:right w:val="single" w:color="auto" w:sz="4" w:space="0"/>
            </w:tcBorders>
            <w:shd w:val="clear" w:color="auto" w:fill="auto"/>
            <w:noWrap/>
            <w:vAlign w:val="bottom"/>
          </w:tcPr>
          <w:p>
            <w:pPr>
              <w:spacing w:after="0" w:line="276" w:lineRule="auto"/>
              <w:jc w:val="both"/>
              <w:rPr>
                <w:rFonts w:ascii="Arial" w:hAnsi="Arial" w:cs="Arial"/>
              </w:rPr>
            </w:pPr>
            <w:r>
              <w:rPr>
                <w:rFonts w:ascii="Arial" w:hAnsi="Arial" w:cs="Arial"/>
              </w:rPr>
              <w:t>Primera emisión:</w:t>
            </w:r>
          </w:p>
        </w:tc>
        <w:tc>
          <w:tcPr>
            <w:tcW w:w="1536" w:type="dxa"/>
            <w:tcBorders>
              <w:top w:val="single" w:color="auto" w:sz="4" w:space="0"/>
              <w:left w:val="nil"/>
              <w:bottom w:val="single" w:color="auto" w:sz="4" w:space="0"/>
              <w:right w:val="single" w:color="auto" w:sz="4" w:space="0"/>
            </w:tcBorders>
            <w:shd w:val="clear" w:color="auto" w:fill="auto"/>
            <w:noWrap/>
            <w:vAlign w:val="bottom"/>
          </w:tcPr>
          <w:p>
            <w:pPr>
              <w:spacing w:after="0" w:line="276" w:lineRule="auto"/>
              <w:jc w:val="both"/>
              <w:rPr>
                <w:rFonts w:ascii="Arial" w:hAnsi="Arial" w:cs="Arial"/>
              </w:rPr>
            </w:pPr>
            <w:r>
              <w:rPr>
                <w:rFonts w:ascii="Arial" w:hAnsi="Arial" w:cs="Arial"/>
              </w:rPr>
              <w:t>1.0</w:t>
            </w:r>
          </w:p>
        </w:tc>
        <w:tc>
          <w:tcPr>
            <w:tcW w:w="1835" w:type="dxa"/>
            <w:tcBorders>
              <w:top w:val="single" w:color="auto" w:sz="4" w:space="0"/>
              <w:left w:val="nil"/>
              <w:bottom w:val="single" w:color="auto" w:sz="4" w:space="0"/>
              <w:right w:val="single" w:color="auto" w:sz="4" w:space="0"/>
            </w:tcBorders>
            <w:shd w:val="clear" w:color="auto" w:fill="auto"/>
            <w:noWrap/>
            <w:vAlign w:val="bottom"/>
          </w:tcPr>
          <w:p>
            <w:pPr>
              <w:spacing w:after="0" w:line="276" w:lineRule="auto"/>
              <w:jc w:val="both"/>
              <w:rPr>
                <w:rFonts w:ascii="Arial" w:hAnsi="Arial" w:cs="Arial"/>
              </w:rPr>
            </w:pPr>
          </w:p>
        </w:tc>
      </w:tr>
    </w:tbl>
    <w:p>
      <w:pPr>
        <w:spacing w:after="0" w:line="276" w:lineRule="auto"/>
        <w:jc w:val="both"/>
        <w:rPr>
          <w:rFonts w:ascii="Arial" w:hAnsi="Arial" w:cs="Arial"/>
        </w:rPr>
      </w:pPr>
    </w:p>
    <w:sectPr>
      <w:headerReference r:id="rId5" w:type="default"/>
      <w:footerReference r:id="rId6" w:type="default"/>
      <w:pgSz w:w="12242" w:h="15842"/>
      <w:pgMar w:top="1418" w:right="1701" w:bottom="1418" w:left="1701" w:header="567" w:footer="397"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Droid Sans Fallback"/>
    <w:panose1 w:val="00000000000000000000"/>
    <w:charset w:val="86"/>
    <w:family w:val="auto"/>
    <w:pitch w:val="default"/>
    <w:sig w:usb0="00000000" w:usb1="00000000" w:usb2="00000000" w:usb3="00000000" w:csb0="00000000" w:csb1="00000000"/>
  </w:font>
  <w:font w:name="Wingdings">
    <w:altName w:val="MT Extra"/>
    <w:panose1 w:val="05000000000000000000"/>
    <w:charset w:val="00"/>
    <w:family w:val="auto"/>
    <w:pitch w:val="default"/>
    <w:sig w:usb0="00000000" w:usb1="10000000" w:usb2="00000000" w:usb3="00000000" w:csb0="80000000" w:csb1="00000000"/>
  </w:font>
  <w:font w:name="Arial">
    <w:panose1 w:val="020B0604020202020204"/>
    <w:charset w:val="00"/>
    <w:family w:val="swiss"/>
    <w:pitch w:val="default"/>
    <w:sig w:usb0="00007A87" w:usb1="80000000" w:usb2="00000008" w:usb3="00000000" w:csb0="400001FF" w:csb1="FFFF0000"/>
  </w:font>
  <w:font w:name="黑体">
    <w:altName w:val="Droid Sans Fallback"/>
    <w:panose1 w:val="02010600030101010101"/>
    <w:charset w:val="00"/>
    <w:family w:val="auto"/>
    <w:pitch w:val="default"/>
    <w:sig w:usb0="00000001" w:usb1="080E0000" w:usb2="00000010" w:usb3="00000000" w:csb0="00040000" w:csb1="00000000"/>
  </w:font>
  <w:font w:name="Courier New">
    <w:panose1 w:val="02070309020205020404"/>
    <w:charset w:val="00"/>
    <w:family w:val="modern"/>
    <w:pitch w:val="default"/>
    <w:sig w:usb0="00007A87" w:usb1="80000000" w:usb2="00000008" w:usb3="00000000" w:csb0="400001FF" w:csb1="FFFF0000"/>
  </w:font>
  <w:font w:name="Calibri">
    <w:panose1 w:val="020F0502020204030204"/>
    <w:charset w:val="00"/>
    <w:family w:val="swiss"/>
    <w:pitch w:val="default"/>
    <w:sig w:usb0="A00002EF" w:usb1="4000207B" w:usb2="00000000" w:usb3="00000000" w:csb0="2000009F" w:csb1="00000000"/>
  </w:font>
  <w:font w:name="SimSun">
    <w:altName w:val="Droid Sans Fallback"/>
    <w:panose1 w:val="02010600030101010101"/>
    <w:charset w:val="86"/>
    <w:family w:val="auto"/>
    <w:pitch w:val="default"/>
    <w:sig w:usb0="00000000" w:usb1="00000000" w:usb2="00000016" w:usb3="00000000" w:csb0="00040001" w:csb1="00000000"/>
  </w:font>
  <w:font w:name="Cambria">
    <w:panose1 w:val="02040503050406030204"/>
    <w:charset w:val="00"/>
    <w:family w:val="roman"/>
    <w:pitch w:val="default"/>
    <w:sig w:usb0="A00002EF" w:usb1="4000004B" w:usb2="00000000" w:usb3="00000000" w:csb0="2000009F" w:csb1="00000000"/>
  </w:font>
  <w:font w:name="Tahoma">
    <w:altName w:val="Verdana"/>
    <w:panose1 w:val="020B0604030504040204"/>
    <w:charset w:val="00"/>
    <w:family w:val="swiss"/>
    <w:pitch w:val="default"/>
    <w:sig w:usb0="00000000" w:usb1="00000000" w:usb2="00000029" w:usb3="00000000" w:csb0="000101FF" w:csb1="00000000"/>
  </w:font>
  <w:font w:name="Symbol">
    <w:altName w:val="MT Extra"/>
    <w:panose1 w:val="05050102010706020507"/>
    <w:charset w:val="02"/>
    <w:family w:val="roman"/>
    <w:pitch w:val="default"/>
    <w:sig w:usb0="00000000" w:usb1="00000000" w:usb2="00000000" w:usb3="00000000" w:csb0="80000000" w:csb1="00000000"/>
  </w:font>
  <w:font w:name="Wingdings">
    <w:altName w:val="MT Extra"/>
    <w:panose1 w:val="05000000000000000000"/>
    <w:charset w:val="02"/>
    <w:family w:val="auto"/>
    <w:pitch w:val="default"/>
    <w:sig w:usb0="00000000" w:usb1="00000000" w:usb2="00000000" w:usb3="00000000" w:csb0="80000000" w:csb1="00000000"/>
  </w:font>
  <w:font w:name="Arial Rounded MT Bold">
    <w:altName w:val="Times New Roman"/>
    <w:panose1 w:val="020F0704030504030204"/>
    <w:charset w:val="00"/>
    <w:family w:val="swiss"/>
    <w:pitch w:val="default"/>
    <w:sig w:usb0="00000000" w:usb1="00000000" w:usb2="00000000" w:usb3="00000000" w:csb0="00000001" w:csb1="00000000"/>
  </w:font>
  <w:font w:name="Droid Sans Fallback">
    <w:panose1 w:val="020B0502000000000001"/>
    <w:charset w:val="86"/>
    <w:family w:val="auto"/>
    <w:pitch w:val="default"/>
    <w:sig w:usb0="910002FF" w:usb1="2BDFFCFB" w:usb2="00000036" w:usb3="00000000" w:csb0="203F01FF" w:csb1="D7FF0000"/>
  </w:font>
  <w:font w:name="DejaVa Sans">
    <w:altName w:val="Abyssinica SIL"/>
    <w:panose1 w:val="00000000000000000000"/>
    <w:charset w:val="00"/>
    <w:family w:val="auto"/>
    <w:pitch w:val="default"/>
    <w:sig w:usb0="00000000" w:usb1="00000000" w:usb2="00000000" w:usb3="00000000" w:csb0="00000000" w:csb1="00000000"/>
  </w:font>
  <w:font w:name="Abyssinica SIL">
    <w:panose1 w:val="02000603020000020004"/>
    <w:charset w:val="00"/>
    <w:family w:val="auto"/>
    <w:pitch w:val="default"/>
    <w:sig w:usb0="800000EF" w:usb1="5000A04B" w:usb2="00000828" w:usb3="00000000" w:csb0="20000001" w:csb1="00000000"/>
  </w:font>
  <w:font w:name="MT Extra">
    <w:panose1 w:val="05050102010205020202"/>
    <w:charset w:val="00"/>
    <w:family w:val="auto"/>
    <w:pitch w:val="default"/>
    <w:sig w:usb0="80000000" w:usb1="00000000" w:usb2="00000000" w:usb3="00000000" w:csb0="00000000" w:csb1="00000000"/>
  </w:font>
  <w:font w:name="Verdana">
    <w:panose1 w:val="020B0604030504040204"/>
    <w:charset w:val="00"/>
    <w:family w:val="auto"/>
    <w:pitch w:val="default"/>
    <w:sig w:usb0="00000287" w:usb1="00000000"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419"/>
        <w:tab w:val="right" w:pos="8838"/>
      </w:tabs>
      <w:spacing w:after="0" w:line="240" w:lineRule="auto"/>
      <w:jc w:val="center"/>
      <w:rPr>
        <w:rFonts w:ascii="Arial" w:hAnsi="Arial" w:eastAsia="Calibri" w:cs="Arial"/>
        <w:b/>
        <w:i/>
        <w:sz w:val="16"/>
        <w:szCs w:val="16"/>
        <w:lang w:val="es-CO" w:eastAsia="en-US"/>
      </w:rPr>
    </w:pPr>
    <w:r>
      <w:rPr>
        <w:rFonts w:ascii="Arial" w:hAnsi="Arial" w:eastAsia="Calibri" w:cs="Arial"/>
        <w:b/>
        <w:i/>
        <w:sz w:val="16"/>
        <w:szCs w:val="16"/>
        <w:lang w:val="es-CO" w:eastAsia="en-US"/>
      </w:rPr>
      <w:t>…llevamos más que agua.</w:t>
    </w:r>
  </w:p>
  <w:p>
    <w:pPr>
      <w:tabs>
        <w:tab w:val="center" w:pos="4419"/>
        <w:tab w:val="right" w:pos="8838"/>
      </w:tabs>
      <w:spacing w:after="0" w:line="240" w:lineRule="auto"/>
      <w:rPr>
        <w:rFonts w:ascii="Arial" w:hAnsi="Arial" w:eastAsia="Calibri" w:cs="Arial"/>
        <w:sz w:val="16"/>
        <w:szCs w:val="16"/>
        <w:lang w:val="es-CO" w:eastAsia="en-US"/>
      </w:rPr>
    </w:pPr>
    <w:r>
      <w:rPr>
        <w:rFonts w:ascii="Arial" w:hAnsi="Arial" w:eastAsia="Calibri" w:cs="Arial"/>
        <w:sz w:val="16"/>
        <w:szCs w:val="16"/>
        <w:lang w:val="es-CO" w:eastAsia="en-US"/>
      </w:rPr>
      <w:tab/>
    </w:r>
    <w:r>
      <w:rPr>
        <w:rFonts w:ascii="Arial" w:hAnsi="Arial" w:eastAsia="Calibri" w:cs="Arial"/>
        <w:sz w:val="16"/>
        <w:szCs w:val="16"/>
        <w:lang w:val="es-CO" w:eastAsia="en-US"/>
      </w:rPr>
      <w:t>Calle 21 No. 1C -17</w:t>
    </w:r>
    <w:r>
      <w:rPr>
        <w:rFonts w:ascii="Arial" w:hAnsi="Arial" w:eastAsia="Calibri" w:cs="Arial"/>
        <w:sz w:val="16"/>
        <w:szCs w:val="16"/>
        <w:lang w:val="es-CO" w:eastAsia="en-US"/>
      </w:rPr>
      <w:tab/>
    </w:r>
  </w:p>
  <w:p>
    <w:pPr>
      <w:tabs>
        <w:tab w:val="center" w:pos="4419"/>
        <w:tab w:val="right" w:pos="8838"/>
      </w:tabs>
      <w:spacing w:after="0" w:line="240" w:lineRule="auto"/>
      <w:jc w:val="center"/>
      <w:rPr>
        <w:rFonts w:ascii="Arial" w:hAnsi="Arial" w:eastAsia="Calibri" w:cs="Arial"/>
        <w:sz w:val="16"/>
        <w:szCs w:val="16"/>
        <w:lang w:val="es-CO" w:eastAsia="en-US"/>
      </w:rPr>
    </w:pPr>
    <w:r>
      <w:rPr>
        <w:rFonts w:ascii="Arial" w:hAnsi="Arial" w:eastAsia="Calibri" w:cs="Arial"/>
        <w:sz w:val="16"/>
        <w:szCs w:val="16"/>
        <w:lang w:val="es-CO" w:eastAsia="en-US"/>
      </w:rPr>
      <w:t xml:space="preserve">Teléfonos 8 75 31 81 – 8 75 23 21 - Fax: Ext. 124     </w:t>
    </w:r>
  </w:p>
  <w:p>
    <w:pPr>
      <w:tabs>
        <w:tab w:val="center" w:pos="4419"/>
        <w:tab w:val="right" w:pos="8838"/>
      </w:tabs>
      <w:spacing w:after="0" w:line="240" w:lineRule="auto"/>
      <w:jc w:val="center"/>
      <w:rPr>
        <w:rFonts w:ascii="Arial" w:hAnsi="Arial" w:eastAsia="Calibri" w:cs="Arial"/>
        <w:sz w:val="16"/>
        <w:szCs w:val="16"/>
        <w:lang w:val="es-CO" w:eastAsia="en-US"/>
      </w:rPr>
    </w:pPr>
    <w:r>
      <w:fldChar w:fldCharType="begin"/>
    </w:r>
    <w:r>
      <w:instrText xml:space="preserve"> HYPERLINK "http://www.aguasdelhuila.gov.co" </w:instrText>
    </w:r>
    <w:r>
      <w:fldChar w:fldCharType="separate"/>
    </w:r>
    <w:r>
      <w:rPr>
        <w:rFonts w:ascii="Arial" w:hAnsi="Arial" w:eastAsia="Calibri" w:cs="Arial"/>
        <w:color w:val="0000FF"/>
        <w:sz w:val="16"/>
        <w:szCs w:val="16"/>
        <w:u w:val="single"/>
        <w:lang w:val="es-CO" w:eastAsia="en-US"/>
      </w:rPr>
      <w:t>www.aguasdelhuila.gov.co</w:t>
    </w:r>
    <w:r>
      <w:rPr>
        <w:rFonts w:ascii="Arial" w:hAnsi="Arial" w:eastAsia="Calibri" w:cs="Arial"/>
        <w:color w:val="0000FF"/>
        <w:sz w:val="16"/>
        <w:szCs w:val="16"/>
        <w:u w:val="single"/>
        <w:lang w:val="es-CO" w:eastAsia="en-US"/>
      </w:rPr>
      <w:fldChar w:fldCharType="end"/>
    </w:r>
  </w:p>
  <w:p>
    <w:pPr>
      <w:tabs>
        <w:tab w:val="center" w:pos="4419"/>
        <w:tab w:val="right" w:pos="8838"/>
      </w:tabs>
      <w:spacing w:after="0" w:line="240" w:lineRule="auto"/>
      <w:jc w:val="center"/>
      <w:rPr>
        <w:rFonts w:ascii="Arial" w:hAnsi="Arial" w:eastAsia="Calibri" w:cs="Arial"/>
        <w:sz w:val="16"/>
        <w:szCs w:val="16"/>
        <w:lang w:val="es-CO" w:eastAsia="en-US"/>
      </w:rPr>
    </w:pPr>
    <w:r>
      <w:rPr>
        <w:rFonts w:ascii="Arial" w:hAnsi="Arial" w:eastAsia="Calibri" w:cs="Arial"/>
        <w:sz w:val="16"/>
        <w:szCs w:val="16"/>
        <w:lang w:val="es-CO" w:eastAsia="en-US"/>
      </w:rPr>
      <w:t>Neiva – Huila (Colombia).</w:t>
    </w:r>
  </w:p>
  <w:p>
    <w:pPr>
      <w:tabs>
        <w:tab w:val="center" w:pos="4550"/>
        <w:tab w:val="left" w:pos="5818"/>
      </w:tabs>
      <w:spacing w:after="0" w:line="240" w:lineRule="auto"/>
      <w:ind w:right="260"/>
      <w:jc w:val="right"/>
      <w:rPr>
        <w:rFonts w:ascii="Arial" w:hAnsi="Arial" w:cs="Arial"/>
        <w:color w:val="0F243E"/>
        <w:sz w:val="14"/>
        <w:szCs w:val="14"/>
      </w:rPr>
    </w:pPr>
    <w:r>
      <w:rPr>
        <w:rFonts w:ascii="Arial" w:hAnsi="Arial" w:cs="Arial"/>
        <w:color w:val="548DD4"/>
        <w:spacing w:val="60"/>
        <w:sz w:val="14"/>
        <w:szCs w:val="14"/>
      </w:rPr>
      <w:t>Página</w:t>
    </w:r>
    <w:r>
      <w:rPr>
        <w:rFonts w:ascii="Arial" w:hAnsi="Arial" w:cs="Arial"/>
        <w:color w:val="548DD4"/>
        <w:sz w:val="14"/>
        <w:szCs w:val="14"/>
      </w:rPr>
      <w:t xml:space="preserve"> </w:t>
    </w:r>
    <w:r>
      <w:rPr>
        <w:rFonts w:ascii="Arial" w:hAnsi="Arial" w:cs="Arial"/>
        <w:color w:val="17365D"/>
        <w:sz w:val="14"/>
        <w:szCs w:val="14"/>
      </w:rPr>
      <w:fldChar w:fldCharType="begin"/>
    </w:r>
    <w:r>
      <w:rPr>
        <w:rFonts w:ascii="Arial" w:hAnsi="Arial" w:cs="Arial"/>
        <w:color w:val="17365D"/>
        <w:sz w:val="14"/>
        <w:szCs w:val="14"/>
      </w:rPr>
      <w:instrText xml:space="preserve">PAGE   \* MERGEFORMAT</w:instrText>
    </w:r>
    <w:r>
      <w:rPr>
        <w:rFonts w:ascii="Arial" w:hAnsi="Arial" w:cs="Arial"/>
        <w:color w:val="17365D"/>
        <w:sz w:val="14"/>
        <w:szCs w:val="14"/>
      </w:rPr>
      <w:fldChar w:fldCharType="separate"/>
    </w:r>
    <w:r>
      <w:rPr>
        <w:rFonts w:ascii="Arial" w:hAnsi="Arial" w:cs="Arial"/>
        <w:color w:val="17365D"/>
        <w:sz w:val="14"/>
        <w:szCs w:val="14"/>
      </w:rPr>
      <w:t>6</w:t>
    </w:r>
    <w:r>
      <w:rPr>
        <w:rFonts w:ascii="Arial" w:hAnsi="Arial" w:cs="Arial"/>
        <w:color w:val="17365D"/>
        <w:sz w:val="14"/>
        <w:szCs w:val="14"/>
      </w:rPr>
      <w:fldChar w:fldCharType="end"/>
    </w:r>
    <w:r>
      <w:rPr>
        <w:rFonts w:ascii="Arial" w:hAnsi="Arial" w:cs="Arial"/>
        <w:color w:val="17365D"/>
        <w:sz w:val="14"/>
        <w:szCs w:val="14"/>
      </w:rPr>
      <w:t xml:space="preserve"> | </w:t>
    </w:r>
    <w:r>
      <w:rPr>
        <w:rFonts w:ascii="Arial" w:hAnsi="Arial" w:cs="Arial"/>
        <w:color w:val="17365D"/>
        <w:sz w:val="14"/>
        <w:szCs w:val="14"/>
      </w:rPr>
      <w:fldChar w:fldCharType="begin"/>
    </w:r>
    <w:r>
      <w:rPr>
        <w:rFonts w:ascii="Arial" w:hAnsi="Arial" w:cs="Arial"/>
        <w:color w:val="17365D"/>
        <w:sz w:val="14"/>
        <w:szCs w:val="14"/>
      </w:rPr>
      <w:instrText xml:space="preserve">NUMPAGES  \* Arabic  \* MERGEFORMAT</w:instrText>
    </w:r>
    <w:r>
      <w:rPr>
        <w:rFonts w:ascii="Arial" w:hAnsi="Arial" w:cs="Arial"/>
        <w:color w:val="17365D"/>
        <w:sz w:val="14"/>
        <w:szCs w:val="14"/>
      </w:rPr>
      <w:fldChar w:fldCharType="separate"/>
    </w:r>
    <w:r>
      <w:rPr>
        <w:rFonts w:ascii="Arial" w:hAnsi="Arial" w:cs="Arial"/>
        <w:color w:val="17365D"/>
        <w:sz w:val="14"/>
        <w:szCs w:val="14"/>
      </w:rPr>
      <w:t>7</w:t>
    </w:r>
    <w:r>
      <w:rPr>
        <w:rFonts w:ascii="Arial" w:hAnsi="Arial" w:cs="Arial"/>
        <w:color w:val="17365D"/>
        <w:sz w:val="14"/>
        <w:szCs w:val="14"/>
      </w:rPr>
      <w:fldChar w:fldCharType="end"/>
    </w:r>
  </w:p>
  <w:p>
    <w:pPr>
      <w:pStyle w:val="5"/>
    </w:pPr>
  </w:p>
  <w:p/>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3"/>
      <w:tblW w:w="883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84"/>
      <w:gridCol w:w="6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4" w:hRule="atLeast"/>
        <w:jc w:val="center"/>
      </w:trPr>
      <w:tc>
        <w:tcPr>
          <w:tcW w:w="1884" w:type="dxa"/>
          <w:vMerge w:val="restart"/>
        </w:tcPr>
        <w:p>
          <w:pPr>
            <w:pStyle w:val="6"/>
            <w:rPr>
              <w:lang w:val="es-CO"/>
            </w:rPr>
          </w:pPr>
          <w:r>
            <w:rPr>
              <w:lang w:val="es-CO" w:eastAsia="es-CO"/>
            </w:rPr>
            <w:drawing>
              <wp:anchor distT="0" distB="0" distL="114300" distR="114300" simplePos="0" relativeHeight="251668480" behindDoc="0" locked="0" layoutInCell="1" allowOverlap="1">
                <wp:simplePos x="0" y="0"/>
                <wp:positionH relativeFrom="column">
                  <wp:posOffset>-43180</wp:posOffset>
                </wp:positionH>
                <wp:positionV relativeFrom="paragraph">
                  <wp:posOffset>81280</wp:posOffset>
                </wp:positionV>
                <wp:extent cx="1009650" cy="827405"/>
                <wp:effectExtent l="0" t="0" r="0" b="0"/>
                <wp:wrapNone/>
                <wp:docPr id="7" name="0 Imagen"/>
                <wp:cNvGraphicFramePr/>
                <a:graphic xmlns:a="http://schemas.openxmlformats.org/drawingml/2006/main">
                  <a:graphicData uri="http://schemas.openxmlformats.org/drawingml/2006/picture">
                    <pic:pic xmlns:pic="http://schemas.openxmlformats.org/drawingml/2006/picture">
                      <pic:nvPicPr>
                        <pic:cNvPr id="7" name="0 Imagen"/>
                        <pic:cNvPicPr preferRelativeResize="0"/>
                      </pic:nvPicPr>
                      <pic:blipFill>
                        <a:blip r:embed="rId1" cstate="print">
                          <a:extLst>
                            <a:ext uri="{28A0092B-C50C-407E-A947-70E740481C1C}">
                              <a14:useLocalDpi xmlns:a14="http://schemas.microsoft.com/office/drawing/2010/main" val="0"/>
                            </a:ext>
                          </a:extLst>
                        </a:blip>
                        <a:stretch>
                          <a:fillRect/>
                        </a:stretch>
                      </pic:blipFill>
                      <pic:spPr>
                        <a:xfrm>
                          <a:off x="0" y="0"/>
                          <a:ext cx="1010377" cy="828001"/>
                        </a:xfrm>
                        <a:prstGeom prst="rect">
                          <a:avLst/>
                        </a:prstGeom>
                      </pic:spPr>
                    </pic:pic>
                  </a:graphicData>
                </a:graphic>
              </wp:anchor>
            </w:drawing>
          </w:r>
        </w:p>
      </w:tc>
      <w:tc>
        <w:tcPr>
          <w:tcW w:w="6946" w:type="dxa"/>
          <w:vAlign w:val="center"/>
        </w:tcPr>
        <w:p>
          <w:pPr>
            <w:pStyle w:val="6"/>
            <w:jc w:val="center"/>
            <w:rPr>
              <w:rFonts w:ascii="Arial Rounded MT Bold" w:hAnsi="Arial Rounded MT Bold"/>
              <w:sz w:val="22"/>
              <w:szCs w:val="22"/>
              <w:lang w:val="es-CO"/>
            </w:rPr>
          </w:pPr>
          <w:r>
            <w:rPr>
              <w:rFonts w:ascii="Arial Rounded MT Bold" w:hAnsi="Arial Rounded MT Bold"/>
              <w:sz w:val="22"/>
              <w:szCs w:val="22"/>
              <w:lang w:val="es-CO"/>
            </w:rPr>
            <w:t>AGUAS DEL HUILA S.A. E.S.P.</w:t>
          </w:r>
        </w:p>
        <w:p>
          <w:pPr>
            <w:pStyle w:val="6"/>
            <w:jc w:val="center"/>
            <w:rPr>
              <w:sz w:val="20"/>
              <w:szCs w:val="20"/>
              <w:lang w:val="es-CO"/>
            </w:rPr>
          </w:pPr>
          <w:r>
            <w:rPr>
              <w:rFonts w:ascii="Arial Rounded MT Bold" w:hAnsi="Arial Rounded MT Bold"/>
              <w:sz w:val="20"/>
              <w:szCs w:val="20"/>
              <w:lang w:val="es-CO"/>
            </w:rPr>
            <w:t>NIT.  800.100.553-2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1884" w:type="dxa"/>
          <w:vMerge w:val="continue"/>
          <w:vAlign w:val="center"/>
        </w:tcPr>
        <w:p>
          <w:pPr>
            <w:pStyle w:val="6"/>
            <w:rPr>
              <w:lang w:val="es-CO"/>
            </w:rPr>
          </w:pPr>
        </w:p>
      </w:tc>
      <w:tc>
        <w:tcPr>
          <w:tcW w:w="6946" w:type="dxa"/>
          <w:vMerge w:val="restart"/>
          <w:vAlign w:val="center"/>
        </w:tcPr>
        <w:p>
          <w:pPr>
            <w:pStyle w:val="6"/>
            <w:jc w:val="center"/>
            <w:rPr>
              <w:rFonts w:hint="default" w:ascii="Arial Rounded MT Bold" w:hAnsi="Arial Rounded MT Bold"/>
              <w:sz w:val="16"/>
              <w:szCs w:val="16"/>
              <w:lang w:val="es"/>
            </w:rPr>
          </w:pPr>
          <w:r>
            <w:rPr>
              <w:rFonts w:hint="default" w:ascii="Arial Rounded MT Bold" w:hAnsi="Arial Rounded MT Bold"/>
              <w:sz w:val="16"/>
              <w:szCs w:val="16"/>
              <w:lang w:val="es"/>
            </w:rPr>
            <w:t>PROGRAMA DE DISPOSICIÓN FINAL DE RESIDUOS TECNOLÓGICOS</w:t>
          </w:r>
        </w:p>
        <w:p>
          <w:pPr>
            <w:pStyle w:val="6"/>
            <w:jc w:val="center"/>
            <w:rPr>
              <w:rFonts w:ascii="Arial Rounded MT Bold" w:hAnsi="Arial Rounded MT Bold"/>
              <w:sz w:val="16"/>
              <w:szCs w:val="16"/>
              <w:lang w:val="es-CO"/>
            </w:rPr>
          </w:pPr>
          <w:r>
            <w:rPr>
              <w:rFonts w:ascii="Arial Rounded MT Bold" w:hAnsi="Arial Rounded MT Bold"/>
              <w:sz w:val="16"/>
              <w:szCs w:val="16"/>
              <w:lang w:val="es-CO"/>
            </w:rPr>
            <w:t>VERSIÓN: 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1884" w:type="dxa"/>
          <w:vMerge w:val="continue"/>
          <w:vAlign w:val="center"/>
        </w:tcPr>
        <w:p>
          <w:pPr>
            <w:pStyle w:val="6"/>
            <w:rPr>
              <w:lang w:val="es-CO"/>
            </w:rPr>
          </w:pPr>
        </w:p>
      </w:tc>
      <w:tc>
        <w:tcPr>
          <w:tcW w:w="6946" w:type="dxa"/>
          <w:vMerge w:val="continue"/>
          <w:vAlign w:val="center"/>
        </w:tcPr>
        <w:p>
          <w:pPr>
            <w:pStyle w:val="6"/>
            <w:rPr>
              <w:lang w:val="es-CO"/>
            </w:rPr>
          </w:pPr>
        </w:p>
      </w:tc>
    </w:tr>
  </w:tbl>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611FAC"/>
    <w:multiLevelType w:val="multilevel"/>
    <w:tmpl w:val="38611FA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08"/>
  <w:hyphenationZone w:val="425"/>
  <w:drawingGridHorizontalSpacing w:val="120"/>
  <w:noPunctuationKerning w:val="1"/>
  <w:characterSpacingControl w:val="doNotCompress"/>
  <w:footnotePr>
    <w:footnote w:id="0"/>
    <w:footnote w:id="1"/>
  </w:footnotePr>
  <w:endnotePr>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7DC"/>
    <w:rsid w:val="00002B24"/>
    <w:rsid w:val="00005097"/>
    <w:rsid w:val="00012F31"/>
    <w:rsid w:val="000159D6"/>
    <w:rsid w:val="00021B1A"/>
    <w:rsid w:val="00030542"/>
    <w:rsid w:val="00030E4B"/>
    <w:rsid w:val="00031725"/>
    <w:rsid w:val="00032EAC"/>
    <w:rsid w:val="0003373A"/>
    <w:rsid w:val="00037B0A"/>
    <w:rsid w:val="0004362B"/>
    <w:rsid w:val="000444AA"/>
    <w:rsid w:val="000456B6"/>
    <w:rsid w:val="000459AF"/>
    <w:rsid w:val="0005222B"/>
    <w:rsid w:val="00053A9B"/>
    <w:rsid w:val="00063D36"/>
    <w:rsid w:val="0006551F"/>
    <w:rsid w:val="00070FA5"/>
    <w:rsid w:val="00071621"/>
    <w:rsid w:val="000722C8"/>
    <w:rsid w:val="000738C2"/>
    <w:rsid w:val="00075639"/>
    <w:rsid w:val="000763AF"/>
    <w:rsid w:val="0008141D"/>
    <w:rsid w:val="00086AB1"/>
    <w:rsid w:val="00091A7F"/>
    <w:rsid w:val="00091BCE"/>
    <w:rsid w:val="00092D41"/>
    <w:rsid w:val="0009325E"/>
    <w:rsid w:val="00095953"/>
    <w:rsid w:val="000A352C"/>
    <w:rsid w:val="000A75AB"/>
    <w:rsid w:val="000B4873"/>
    <w:rsid w:val="000C04A6"/>
    <w:rsid w:val="000C24E8"/>
    <w:rsid w:val="000C3C6C"/>
    <w:rsid w:val="000C4574"/>
    <w:rsid w:val="000C4EA7"/>
    <w:rsid w:val="000C52D2"/>
    <w:rsid w:val="000D1216"/>
    <w:rsid w:val="000D25A7"/>
    <w:rsid w:val="000D2972"/>
    <w:rsid w:val="000D6026"/>
    <w:rsid w:val="000D63FE"/>
    <w:rsid w:val="000E2CEE"/>
    <w:rsid w:val="000E5C3E"/>
    <w:rsid w:val="000F3A00"/>
    <w:rsid w:val="000F3A29"/>
    <w:rsid w:val="000F495C"/>
    <w:rsid w:val="00102FC3"/>
    <w:rsid w:val="00103BD3"/>
    <w:rsid w:val="00106BF9"/>
    <w:rsid w:val="00112BFB"/>
    <w:rsid w:val="001150EF"/>
    <w:rsid w:val="001167D8"/>
    <w:rsid w:val="00121CA1"/>
    <w:rsid w:val="00123679"/>
    <w:rsid w:val="00132ED2"/>
    <w:rsid w:val="0014001B"/>
    <w:rsid w:val="0014309E"/>
    <w:rsid w:val="00143107"/>
    <w:rsid w:val="001432BC"/>
    <w:rsid w:val="00146BA2"/>
    <w:rsid w:val="001500E3"/>
    <w:rsid w:val="0015244B"/>
    <w:rsid w:val="00152458"/>
    <w:rsid w:val="0015343D"/>
    <w:rsid w:val="0016196E"/>
    <w:rsid w:val="00172A27"/>
    <w:rsid w:val="00173913"/>
    <w:rsid w:val="001742F3"/>
    <w:rsid w:val="00187B63"/>
    <w:rsid w:val="00187E53"/>
    <w:rsid w:val="001A0BF6"/>
    <w:rsid w:val="001A3164"/>
    <w:rsid w:val="001A3594"/>
    <w:rsid w:val="001A7C99"/>
    <w:rsid w:val="001B16E0"/>
    <w:rsid w:val="001B3361"/>
    <w:rsid w:val="001B40AB"/>
    <w:rsid w:val="001B712A"/>
    <w:rsid w:val="001C0E2C"/>
    <w:rsid w:val="001C124F"/>
    <w:rsid w:val="001C6F5C"/>
    <w:rsid w:val="001C786C"/>
    <w:rsid w:val="001C7C9D"/>
    <w:rsid w:val="001D0BAC"/>
    <w:rsid w:val="001D1A64"/>
    <w:rsid w:val="001D2CC6"/>
    <w:rsid w:val="001D5017"/>
    <w:rsid w:val="001D5DEF"/>
    <w:rsid w:val="001E7AFC"/>
    <w:rsid w:val="001F1D46"/>
    <w:rsid w:val="001F3BC6"/>
    <w:rsid w:val="002114B0"/>
    <w:rsid w:val="0021246E"/>
    <w:rsid w:val="002131FD"/>
    <w:rsid w:val="0021356B"/>
    <w:rsid w:val="002135CA"/>
    <w:rsid w:val="00214585"/>
    <w:rsid w:val="002209A2"/>
    <w:rsid w:val="00221F6B"/>
    <w:rsid w:val="00225CEE"/>
    <w:rsid w:val="00230430"/>
    <w:rsid w:val="00233030"/>
    <w:rsid w:val="0023546F"/>
    <w:rsid w:val="002374F1"/>
    <w:rsid w:val="0024132B"/>
    <w:rsid w:val="0025374C"/>
    <w:rsid w:val="0025400E"/>
    <w:rsid w:val="00257BA8"/>
    <w:rsid w:val="00264D7E"/>
    <w:rsid w:val="002725D1"/>
    <w:rsid w:val="00273668"/>
    <w:rsid w:val="00273D30"/>
    <w:rsid w:val="00276C2F"/>
    <w:rsid w:val="00280243"/>
    <w:rsid w:val="0028564F"/>
    <w:rsid w:val="0029238F"/>
    <w:rsid w:val="002957D1"/>
    <w:rsid w:val="002961E0"/>
    <w:rsid w:val="002A0241"/>
    <w:rsid w:val="002A03C0"/>
    <w:rsid w:val="002A076D"/>
    <w:rsid w:val="002A0CD4"/>
    <w:rsid w:val="002A516D"/>
    <w:rsid w:val="002A6871"/>
    <w:rsid w:val="002B07B6"/>
    <w:rsid w:val="002B1103"/>
    <w:rsid w:val="002B70B4"/>
    <w:rsid w:val="002B7B9D"/>
    <w:rsid w:val="002C016F"/>
    <w:rsid w:val="002C55D1"/>
    <w:rsid w:val="002C6E9C"/>
    <w:rsid w:val="002C7D6F"/>
    <w:rsid w:val="002C7F38"/>
    <w:rsid w:val="002D3C28"/>
    <w:rsid w:val="002E27FB"/>
    <w:rsid w:val="002F0E53"/>
    <w:rsid w:val="002F3FBE"/>
    <w:rsid w:val="003020AA"/>
    <w:rsid w:val="0031160F"/>
    <w:rsid w:val="003155AE"/>
    <w:rsid w:val="00320869"/>
    <w:rsid w:val="00324246"/>
    <w:rsid w:val="00330D2B"/>
    <w:rsid w:val="00330D72"/>
    <w:rsid w:val="00331AF1"/>
    <w:rsid w:val="00332B06"/>
    <w:rsid w:val="003346B9"/>
    <w:rsid w:val="00335B0D"/>
    <w:rsid w:val="00341756"/>
    <w:rsid w:val="003426C9"/>
    <w:rsid w:val="00343191"/>
    <w:rsid w:val="00346258"/>
    <w:rsid w:val="0035216A"/>
    <w:rsid w:val="00353FB4"/>
    <w:rsid w:val="0035781D"/>
    <w:rsid w:val="00357D6A"/>
    <w:rsid w:val="003602A4"/>
    <w:rsid w:val="003614EE"/>
    <w:rsid w:val="00362E77"/>
    <w:rsid w:val="00363598"/>
    <w:rsid w:val="003647F7"/>
    <w:rsid w:val="00372927"/>
    <w:rsid w:val="00373F61"/>
    <w:rsid w:val="00374C65"/>
    <w:rsid w:val="00377D30"/>
    <w:rsid w:val="003807BD"/>
    <w:rsid w:val="0038117E"/>
    <w:rsid w:val="00386FC8"/>
    <w:rsid w:val="003872C1"/>
    <w:rsid w:val="00387B6F"/>
    <w:rsid w:val="00392DAC"/>
    <w:rsid w:val="003949B2"/>
    <w:rsid w:val="0039643E"/>
    <w:rsid w:val="00397DA5"/>
    <w:rsid w:val="003A0008"/>
    <w:rsid w:val="003A0723"/>
    <w:rsid w:val="003A2983"/>
    <w:rsid w:val="003A2B47"/>
    <w:rsid w:val="003A54AA"/>
    <w:rsid w:val="003B5B29"/>
    <w:rsid w:val="003B5F49"/>
    <w:rsid w:val="003C1CB2"/>
    <w:rsid w:val="003C2B4C"/>
    <w:rsid w:val="003C44C5"/>
    <w:rsid w:val="003C6EC3"/>
    <w:rsid w:val="003C7093"/>
    <w:rsid w:val="003E1026"/>
    <w:rsid w:val="003E14C7"/>
    <w:rsid w:val="003E1B9E"/>
    <w:rsid w:val="003E1F4A"/>
    <w:rsid w:val="003E5D4F"/>
    <w:rsid w:val="003F2352"/>
    <w:rsid w:val="003F2CB0"/>
    <w:rsid w:val="003F2D30"/>
    <w:rsid w:val="003F4B02"/>
    <w:rsid w:val="003F5132"/>
    <w:rsid w:val="003F659E"/>
    <w:rsid w:val="003F7997"/>
    <w:rsid w:val="004038F1"/>
    <w:rsid w:val="004056EA"/>
    <w:rsid w:val="004061DD"/>
    <w:rsid w:val="00406A93"/>
    <w:rsid w:val="00407EB3"/>
    <w:rsid w:val="004116CD"/>
    <w:rsid w:val="00411E29"/>
    <w:rsid w:val="00412201"/>
    <w:rsid w:val="00415F9E"/>
    <w:rsid w:val="00424E4E"/>
    <w:rsid w:val="00431F08"/>
    <w:rsid w:val="00433E9B"/>
    <w:rsid w:val="00437D2D"/>
    <w:rsid w:val="00443DA7"/>
    <w:rsid w:val="00445310"/>
    <w:rsid w:val="0044641C"/>
    <w:rsid w:val="004466DB"/>
    <w:rsid w:val="0044684D"/>
    <w:rsid w:val="00451CE1"/>
    <w:rsid w:val="00452D17"/>
    <w:rsid w:val="00465C50"/>
    <w:rsid w:val="0047017A"/>
    <w:rsid w:val="004731BB"/>
    <w:rsid w:val="00473FAB"/>
    <w:rsid w:val="004764A8"/>
    <w:rsid w:val="0048043E"/>
    <w:rsid w:val="004804FB"/>
    <w:rsid w:val="00481A12"/>
    <w:rsid w:val="004840F6"/>
    <w:rsid w:val="00486BD3"/>
    <w:rsid w:val="004873D1"/>
    <w:rsid w:val="00493777"/>
    <w:rsid w:val="004A3F0D"/>
    <w:rsid w:val="004A58D4"/>
    <w:rsid w:val="004A640A"/>
    <w:rsid w:val="004A7D03"/>
    <w:rsid w:val="004B2BAD"/>
    <w:rsid w:val="004B2BEF"/>
    <w:rsid w:val="004B2E41"/>
    <w:rsid w:val="004B3F48"/>
    <w:rsid w:val="004C0302"/>
    <w:rsid w:val="004C1967"/>
    <w:rsid w:val="004C46A3"/>
    <w:rsid w:val="004C486E"/>
    <w:rsid w:val="004C5529"/>
    <w:rsid w:val="004C5896"/>
    <w:rsid w:val="004D195D"/>
    <w:rsid w:val="004D2B20"/>
    <w:rsid w:val="004D796F"/>
    <w:rsid w:val="004E5859"/>
    <w:rsid w:val="004E5F92"/>
    <w:rsid w:val="004F262B"/>
    <w:rsid w:val="004F3567"/>
    <w:rsid w:val="004F573E"/>
    <w:rsid w:val="004F724B"/>
    <w:rsid w:val="00501850"/>
    <w:rsid w:val="00502C21"/>
    <w:rsid w:val="0050553C"/>
    <w:rsid w:val="005070EF"/>
    <w:rsid w:val="0051389A"/>
    <w:rsid w:val="00517C33"/>
    <w:rsid w:val="00520817"/>
    <w:rsid w:val="00520C12"/>
    <w:rsid w:val="00526031"/>
    <w:rsid w:val="00530F3F"/>
    <w:rsid w:val="00533E04"/>
    <w:rsid w:val="00537254"/>
    <w:rsid w:val="00546D02"/>
    <w:rsid w:val="00547D26"/>
    <w:rsid w:val="00552B1A"/>
    <w:rsid w:val="00554C38"/>
    <w:rsid w:val="005557E5"/>
    <w:rsid w:val="005634D1"/>
    <w:rsid w:val="00565767"/>
    <w:rsid w:val="00567023"/>
    <w:rsid w:val="00567977"/>
    <w:rsid w:val="0057344D"/>
    <w:rsid w:val="0057749E"/>
    <w:rsid w:val="00580627"/>
    <w:rsid w:val="00580BAE"/>
    <w:rsid w:val="005853E3"/>
    <w:rsid w:val="00587E2D"/>
    <w:rsid w:val="00591075"/>
    <w:rsid w:val="0059251A"/>
    <w:rsid w:val="00595D77"/>
    <w:rsid w:val="005960B4"/>
    <w:rsid w:val="005964BD"/>
    <w:rsid w:val="00596AC8"/>
    <w:rsid w:val="005A3990"/>
    <w:rsid w:val="005A4295"/>
    <w:rsid w:val="005B5569"/>
    <w:rsid w:val="005C647B"/>
    <w:rsid w:val="005C74A0"/>
    <w:rsid w:val="005D2513"/>
    <w:rsid w:val="005E4C89"/>
    <w:rsid w:val="005E7F9B"/>
    <w:rsid w:val="005F41EC"/>
    <w:rsid w:val="005F4316"/>
    <w:rsid w:val="005F707E"/>
    <w:rsid w:val="00600FD5"/>
    <w:rsid w:val="00601471"/>
    <w:rsid w:val="00603EAE"/>
    <w:rsid w:val="006115C5"/>
    <w:rsid w:val="00611C0D"/>
    <w:rsid w:val="006125DB"/>
    <w:rsid w:val="00612AB0"/>
    <w:rsid w:val="006139DD"/>
    <w:rsid w:val="00614411"/>
    <w:rsid w:val="006278BA"/>
    <w:rsid w:val="00632E24"/>
    <w:rsid w:val="006338F4"/>
    <w:rsid w:val="0063752F"/>
    <w:rsid w:val="00637D44"/>
    <w:rsid w:val="006422A0"/>
    <w:rsid w:val="0065003D"/>
    <w:rsid w:val="00657916"/>
    <w:rsid w:val="00661029"/>
    <w:rsid w:val="006641A7"/>
    <w:rsid w:val="00664409"/>
    <w:rsid w:val="006653B6"/>
    <w:rsid w:val="00665AE4"/>
    <w:rsid w:val="00666234"/>
    <w:rsid w:val="00670436"/>
    <w:rsid w:val="00671F7F"/>
    <w:rsid w:val="00676DDA"/>
    <w:rsid w:val="00676EA6"/>
    <w:rsid w:val="0067712F"/>
    <w:rsid w:val="006935E8"/>
    <w:rsid w:val="0069518E"/>
    <w:rsid w:val="006A15D7"/>
    <w:rsid w:val="006A23D2"/>
    <w:rsid w:val="006A3529"/>
    <w:rsid w:val="006A3A0D"/>
    <w:rsid w:val="006A3D88"/>
    <w:rsid w:val="006B1B7E"/>
    <w:rsid w:val="006B220A"/>
    <w:rsid w:val="006B2E9B"/>
    <w:rsid w:val="006B559E"/>
    <w:rsid w:val="006C034A"/>
    <w:rsid w:val="006C3852"/>
    <w:rsid w:val="006C5F3D"/>
    <w:rsid w:val="006C6893"/>
    <w:rsid w:val="006C7BA4"/>
    <w:rsid w:val="006D5E79"/>
    <w:rsid w:val="006D60AA"/>
    <w:rsid w:val="006D740D"/>
    <w:rsid w:val="006D7EC9"/>
    <w:rsid w:val="006E280A"/>
    <w:rsid w:val="006E4093"/>
    <w:rsid w:val="006E7BC1"/>
    <w:rsid w:val="006F5ADB"/>
    <w:rsid w:val="006F7A70"/>
    <w:rsid w:val="00712070"/>
    <w:rsid w:val="00712BE9"/>
    <w:rsid w:val="00714921"/>
    <w:rsid w:val="00715102"/>
    <w:rsid w:val="00715234"/>
    <w:rsid w:val="00716052"/>
    <w:rsid w:val="00717A06"/>
    <w:rsid w:val="00721966"/>
    <w:rsid w:val="00721D3C"/>
    <w:rsid w:val="00721E16"/>
    <w:rsid w:val="00722232"/>
    <w:rsid w:val="00724E0A"/>
    <w:rsid w:val="007277A7"/>
    <w:rsid w:val="00731C07"/>
    <w:rsid w:val="00731F96"/>
    <w:rsid w:val="0074082B"/>
    <w:rsid w:val="00743B55"/>
    <w:rsid w:val="00747DF7"/>
    <w:rsid w:val="007515B4"/>
    <w:rsid w:val="007546E6"/>
    <w:rsid w:val="00756DBC"/>
    <w:rsid w:val="0076428F"/>
    <w:rsid w:val="00766030"/>
    <w:rsid w:val="00771D28"/>
    <w:rsid w:val="0077626A"/>
    <w:rsid w:val="007766B9"/>
    <w:rsid w:val="007778C5"/>
    <w:rsid w:val="007879A9"/>
    <w:rsid w:val="00787F91"/>
    <w:rsid w:val="00792A87"/>
    <w:rsid w:val="00795A25"/>
    <w:rsid w:val="00795B18"/>
    <w:rsid w:val="007963F4"/>
    <w:rsid w:val="007A62DF"/>
    <w:rsid w:val="007B3621"/>
    <w:rsid w:val="007B65CF"/>
    <w:rsid w:val="007C1B50"/>
    <w:rsid w:val="007D751C"/>
    <w:rsid w:val="007E595A"/>
    <w:rsid w:val="007E6226"/>
    <w:rsid w:val="007E6BAE"/>
    <w:rsid w:val="007E7E92"/>
    <w:rsid w:val="007F1453"/>
    <w:rsid w:val="007F1D11"/>
    <w:rsid w:val="007F1E97"/>
    <w:rsid w:val="007F2643"/>
    <w:rsid w:val="007F2D75"/>
    <w:rsid w:val="007F79B4"/>
    <w:rsid w:val="00800E20"/>
    <w:rsid w:val="00806D83"/>
    <w:rsid w:val="00813D37"/>
    <w:rsid w:val="0081641A"/>
    <w:rsid w:val="0082223E"/>
    <w:rsid w:val="00822CED"/>
    <w:rsid w:val="0083169D"/>
    <w:rsid w:val="00831D32"/>
    <w:rsid w:val="00837AA8"/>
    <w:rsid w:val="00844227"/>
    <w:rsid w:val="0084517F"/>
    <w:rsid w:val="00845789"/>
    <w:rsid w:val="00850414"/>
    <w:rsid w:val="00850692"/>
    <w:rsid w:val="00851A2F"/>
    <w:rsid w:val="0085380E"/>
    <w:rsid w:val="00860888"/>
    <w:rsid w:val="00863403"/>
    <w:rsid w:val="00864211"/>
    <w:rsid w:val="008674FD"/>
    <w:rsid w:val="00873278"/>
    <w:rsid w:val="00873307"/>
    <w:rsid w:val="00873C91"/>
    <w:rsid w:val="00874482"/>
    <w:rsid w:val="0088137C"/>
    <w:rsid w:val="0088205F"/>
    <w:rsid w:val="00887A6B"/>
    <w:rsid w:val="0089060C"/>
    <w:rsid w:val="00891745"/>
    <w:rsid w:val="00894854"/>
    <w:rsid w:val="00897897"/>
    <w:rsid w:val="008A389F"/>
    <w:rsid w:val="008A5744"/>
    <w:rsid w:val="008A5B3D"/>
    <w:rsid w:val="008B0214"/>
    <w:rsid w:val="008B093A"/>
    <w:rsid w:val="008B2066"/>
    <w:rsid w:val="008B2C91"/>
    <w:rsid w:val="008B7164"/>
    <w:rsid w:val="008B79E3"/>
    <w:rsid w:val="008C093D"/>
    <w:rsid w:val="008C52F4"/>
    <w:rsid w:val="008C57E0"/>
    <w:rsid w:val="008D08EC"/>
    <w:rsid w:val="008D2C98"/>
    <w:rsid w:val="008D4F20"/>
    <w:rsid w:val="008D52BB"/>
    <w:rsid w:val="008D5CC6"/>
    <w:rsid w:val="008D7A07"/>
    <w:rsid w:val="008E2479"/>
    <w:rsid w:val="008E7CE3"/>
    <w:rsid w:val="008F5C6E"/>
    <w:rsid w:val="00902A1B"/>
    <w:rsid w:val="009117B7"/>
    <w:rsid w:val="009229DC"/>
    <w:rsid w:val="00926253"/>
    <w:rsid w:val="00927269"/>
    <w:rsid w:val="0093047C"/>
    <w:rsid w:val="00932B5E"/>
    <w:rsid w:val="00933D02"/>
    <w:rsid w:val="009349B4"/>
    <w:rsid w:val="009369E6"/>
    <w:rsid w:val="009413BA"/>
    <w:rsid w:val="009425D5"/>
    <w:rsid w:val="009428BA"/>
    <w:rsid w:val="00945F64"/>
    <w:rsid w:val="009463BD"/>
    <w:rsid w:val="00946B3E"/>
    <w:rsid w:val="0094743B"/>
    <w:rsid w:val="00955F9B"/>
    <w:rsid w:val="00956A74"/>
    <w:rsid w:val="00960B92"/>
    <w:rsid w:val="009610C1"/>
    <w:rsid w:val="009618CF"/>
    <w:rsid w:val="00961AB0"/>
    <w:rsid w:val="00961EF5"/>
    <w:rsid w:val="009661E2"/>
    <w:rsid w:val="00966B14"/>
    <w:rsid w:val="00974B4E"/>
    <w:rsid w:val="009773D0"/>
    <w:rsid w:val="009811F1"/>
    <w:rsid w:val="009832D1"/>
    <w:rsid w:val="0098761C"/>
    <w:rsid w:val="00990AEA"/>
    <w:rsid w:val="00993263"/>
    <w:rsid w:val="00993737"/>
    <w:rsid w:val="00995CC0"/>
    <w:rsid w:val="009A0B70"/>
    <w:rsid w:val="009A2019"/>
    <w:rsid w:val="009A3131"/>
    <w:rsid w:val="009A3F61"/>
    <w:rsid w:val="009A6995"/>
    <w:rsid w:val="009B1AD4"/>
    <w:rsid w:val="009B2B02"/>
    <w:rsid w:val="009B31E6"/>
    <w:rsid w:val="009C4D39"/>
    <w:rsid w:val="009D04ED"/>
    <w:rsid w:val="009D1893"/>
    <w:rsid w:val="009D52BD"/>
    <w:rsid w:val="009D5E47"/>
    <w:rsid w:val="009D61DC"/>
    <w:rsid w:val="009E2BF9"/>
    <w:rsid w:val="009E3F99"/>
    <w:rsid w:val="009E4CB0"/>
    <w:rsid w:val="009F7762"/>
    <w:rsid w:val="00A0682D"/>
    <w:rsid w:val="00A07137"/>
    <w:rsid w:val="00A14549"/>
    <w:rsid w:val="00A170CA"/>
    <w:rsid w:val="00A17A1E"/>
    <w:rsid w:val="00A17EAF"/>
    <w:rsid w:val="00A2201C"/>
    <w:rsid w:val="00A26766"/>
    <w:rsid w:val="00A26CDC"/>
    <w:rsid w:val="00A325DA"/>
    <w:rsid w:val="00A32857"/>
    <w:rsid w:val="00A3432F"/>
    <w:rsid w:val="00A3462D"/>
    <w:rsid w:val="00A36FAA"/>
    <w:rsid w:val="00A44DE4"/>
    <w:rsid w:val="00A4740D"/>
    <w:rsid w:val="00A51AA5"/>
    <w:rsid w:val="00A53564"/>
    <w:rsid w:val="00A54595"/>
    <w:rsid w:val="00A57ABC"/>
    <w:rsid w:val="00A60FAD"/>
    <w:rsid w:val="00A722FE"/>
    <w:rsid w:val="00A74D6C"/>
    <w:rsid w:val="00A82771"/>
    <w:rsid w:val="00A866BA"/>
    <w:rsid w:val="00A87802"/>
    <w:rsid w:val="00A9174E"/>
    <w:rsid w:val="00A94E2E"/>
    <w:rsid w:val="00A959C5"/>
    <w:rsid w:val="00AA0075"/>
    <w:rsid w:val="00AA0A20"/>
    <w:rsid w:val="00AA18DF"/>
    <w:rsid w:val="00AB0842"/>
    <w:rsid w:val="00AB2936"/>
    <w:rsid w:val="00AC2111"/>
    <w:rsid w:val="00AC2DF2"/>
    <w:rsid w:val="00AC3242"/>
    <w:rsid w:val="00AD32EE"/>
    <w:rsid w:val="00AD4300"/>
    <w:rsid w:val="00AD62B1"/>
    <w:rsid w:val="00AD74FA"/>
    <w:rsid w:val="00AE295E"/>
    <w:rsid w:val="00AE2A0B"/>
    <w:rsid w:val="00AE349F"/>
    <w:rsid w:val="00AE445D"/>
    <w:rsid w:val="00AE5745"/>
    <w:rsid w:val="00AF1DE5"/>
    <w:rsid w:val="00AF4B61"/>
    <w:rsid w:val="00B0011E"/>
    <w:rsid w:val="00B05111"/>
    <w:rsid w:val="00B2020A"/>
    <w:rsid w:val="00B23265"/>
    <w:rsid w:val="00B25CA5"/>
    <w:rsid w:val="00B31741"/>
    <w:rsid w:val="00B3299C"/>
    <w:rsid w:val="00B335E3"/>
    <w:rsid w:val="00B34F73"/>
    <w:rsid w:val="00B35549"/>
    <w:rsid w:val="00B406D8"/>
    <w:rsid w:val="00B419C2"/>
    <w:rsid w:val="00B42491"/>
    <w:rsid w:val="00B430B1"/>
    <w:rsid w:val="00B43CC0"/>
    <w:rsid w:val="00B44ED2"/>
    <w:rsid w:val="00B462B0"/>
    <w:rsid w:val="00B56BFF"/>
    <w:rsid w:val="00B60918"/>
    <w:rsid w:val="00B61579"/>
    <w:rsid w:val="00B644FC"/>
    <w:rsid w:val="00B65DC8"/>
    <w:rsid w:val="00B74DD7"/>
    <w:rsid w:val="00B80686"/>
    <w:rsid w:val="00B86BD7"/>
    <w:rsid w:val="00B90D13"/>
    <w:rsid w:val="00B93884"/>
    <w:rsid w:val="00BA0222"/>
    <w:rsid w:val="00BA38FB"/>
    <w:rsid w:val="00BA3CAB"/>
    <w:rsid w:val="00BA5053"/>
    <w:rsid w:val="00BA679B"/>
    <w:rsid w:val="00BB6867"/>
    <w:rsid w:val="00BC05C4"/>
    <w:rsid w:val="00BC33CC"/>
    <w:rsid w:val="00BC4F58"/>
    <w:rsid w:val="00BC509F"/>
    <w:rsid w:val="00BC5494"/>
    <w:rsid w:val="00BD170A"/>
    <w:rsid w:val="00BD1FE2"/>
    <w:rsid w:val="00BE008D"/>
    <w:rsid w:val="00BE1CB0"/>
    <w:rsid w:val="00BE6906"/>
    <w:rsid w:val="00BE7431"/>
    <w:rsid w:val="00BF5C4F"/>
    <w:rsid w:val="00C00937"/>
    <w:rsid w:val="00C009D2"/>
    <w:rsid w:val="00C05AA9"/>
    <w:rsid w:val="00C07AB0"/>
    <w:rsid w:val="00C2201D"/>
    <w:rsid w:val="00C22557"/>
    <w:rsid w:val="00C24414"/>
    <w:rsid w:val="00C27A03"/>
    <w:rsid w:val="00C30718"/>
    <w:rsid w:val="00C33798"/>
    <w:rsid w:val="00C40267"/>
    <w:rsid w:val="00C4547C"/>
    <w:rsid w:val="00C51411"/>
    <w:rsid w:val="00C56070"/>
    <w:rsid w:val="00C56130"/>
    <w:rsid w:val="00C628D5"/>
    <w:rsid w:val="00C62E68"/>
    <w:rsid w:val="00C6583A"/>
    <w:rsid w:val="00C700FC"/>
    <w:rsid w:val="00C70687"/>
    <w:rsid w:val="00C73B7C"/>
    <w:rsid w:val="00C83528"/>
    <w:rsid w:val="00C85EB6"/>
    <w:rsid w:val="00C9038B"/>
    <w:rsid w:val="00C91B0A"/>
    <w:rsid w:val="00C924E1"/>
    <w:rsid w:val="00C9327C"/>
    <w:rsid w:val="00C95248"/>
    <w:rsid w:val="00CA63EE"/>
    <w:rsid w:val="00CA655F"/>
    <w:rsid w:val="00CB10E2"/>
    <w:rsid w:val="00CB2934"/>
    <w:rsid w:val="00CB4D3F"/>
    <w:rsid w:val="00CB5060"/>
    <w:rsid w:val="00CB5383"/>
    <w:rsid w:val="00CC1AFA"/>
    <w:rsid w:val="00CC2658"/>
    <w:rsid w:val="00CC4288"/>
    <w:rsid w:val="00CC4B61"/>
    <w:rsid w:val="00CC54D5"/>
    <w:rsid w:val="00CD302D"/>
    <w:rsid w:val="00CD32A3"/>
    <w:rsid w:val="00CD5198"/>
    <w:rsid w:val="00CD6765"/>
    <w:rsid w:val="00CE1D42"/>
    <w:rsid w:val="00D00F44"/>
    <w:rsid w:val="00D027A3"/>
    <w:rsid w:val="00D0333E"/>
    <w:rsid w:val="00D06E8F"/>
    <w:rsid w:val="00D10039"/>
    <w:rsid w:val="00D13DDB"/>
    <w:rsid w:val="00D2285C"/>
    <w:rsid w:val="00D244CA"/>
    <w:rsid w:val="00D270A0"/>
    <w:rsid w:val="00D276DE"/>
    <w:rsid w:val="00D303FC"/>
    <w:rsid w:val="00D3143E"/>
    <w:rsid w:val="00D31D6D"/>
    <w:rsid w:val="00D32416"/>
    <w:rsid w:val="00D40F41"/>
    <w:rsid w:val="00D44F6E"/>
    <w:rsid w:val="00D5293F"/>
    <w:rsid w:val="00D53208"/>
    <w:rsid w:val="00D565A1"/>
    <w:rsid w:val="00D61ACA"/>
    <w:rsid w:val="00D64C86"/>
    <w:rsid w:val="00D72890"/>
    <w:rsid w:val="00D740C2"/>
    <w:rsid w:val="00D769D0"/>
    <w:rsid w:val="00D83050"/>
    <w:rsid w:val="00D84888"/>
    <w:rsid w:val="00D8490F"/>
    <w:rsid w:val="00D85341"/>
    <w:rsid w:val="00D92009"/>
    <w:rsid w:val="00D9434A"/>
    <w:rsid w:val="00D975A0"/>
    <w:rsid w:val="00D97A0A"/>
    <w:rsid w:val="00D97AD7"/>
    <w:rsid w:val="00DA1690"/>
    <w:rsid w:val="00DA3CE6"/>
    <w:rsid w:val="00DB0075"/>
    <w:rsid w:val="00DB6EB7"/>
    <w:rsid w:val="00DB7243"/>
    <w:rsid w:val="00DB7E8B"/>
    <w:rsid w:val="00DC2DB4"/>
    <w:rsid w:val="00DC3335"/>
    <w:rsid w:val="00DD116D"/>
    <w:rsid w:val="00DD7D9B"/>
    <w:rsid w:val="00DE6145"/>
    <w:rsid w:val="00DE723D"/>
    <w:rsid w:val="00DE7363"/>
    <w:rsid w:val="00E05ED1"/>
    <w:rsid w:val="00E07F05"/>
    <w:rsid w:val="00E10661"/>
    <w:rsid w:val="00E15B8A"/>
    <w:rsid w:val="00E21B88"/>
    <w:rsid w:val="00E31F15"/>
    <w:rsid w:val="00E32D8C"/>
    <w:rsid w:val="00E366DF"/>
    <w:rsid w:val="00E40297"/>
    <w:rsid w:val="00E460B6"/>
    <w:rsid w:val="00E52007"/>
    <w:rsid w:val="00E54B61"/>
    <w:rsid w:val="00E57DE5"/>
    <w:rsid w:val="00E730CD"/>
    <w:rsid w:val="00E73F79"/>
    <w:rsid w:val="00E75C3E"/>
    <w:rsid w:val="00E76B4E"/>
    <w:rsid w:val="00E77D7E"/>
    <w:rsid w:val="00E821D5"/>
    <w:rsid w:val="00E821D7"/>
    <w:rsid w:val="00E82F7F"/>
    <w:rsid w:val="00E83DA0"/>
    <w:rsid w:val="00E863AC"/>
    <w:rsid w:val="00E911BE"/>
    <w:rsid w:val="00E9160F"/>
    <w:rsid w:val="00E92A18"/>
    <w:rsid w:val="00E972BA"/>
    <w:rsid w:val="00E97FCB"/>
    <w:rsid w:val="00EA18C1"/>
    <w:rsid w:val="00EA4ED6"/>
    <w:rsid w:val="00EA6685"/>
    <w:rsid w:val="00EA6D0C"/>
    <w:rsid w:val="00EB21FE"/>
    <w:rsid w:val="00EB309F"/>
    <w:rsid w:val="00EB39D0"/>
    <w:rsid w:val="00EB4C61"/>
    <w:rsid w:val="00EC221A"/>
    <w:rsid w:val="00EC2275"/>
    <w:rsid w:val="00EC263E"/>
    <w:rsid w:val="00EC75A5"/>
    <w:rsid w:val="00ED1CC9"/>
    <w:rsid w:val="00ED5F5B"/>
    <w:rsid w:val="00ED7B01"/>
    <w:rsid w:val="00EE2993"/>
    <w:rsid w:val="00EF2D3F"/>
    <w:rsid w:val="00EF480D"/>
    <w:rsid w:val="00EF53B9"/>
    <w:rsid w:val="00EF58FE"/>
    <w:rsid w:val="00F015FA"/>
    <w:rsid w:val="00F021B8"/>
    <w:rsid w:val="00F03682"/>
    <w:rsid w:val="00F050E1"/>
    <w:rsid w:val="00F13B69"/>
    <w:rsid w:val="00F17AE1"/>
    <w:rsid w:val="00F27B3F"/>
    <w:rsid w:val="00F34B07"/>
    <w:rsid w:val="00F34B84"/>
    <w:rsid w:val="00F35788"/>
    <w:rsid w:val="00F37B55"/>
    <w:rsid w:val="00F40093"/>
    <w:rsid w:val="00F4231D"/>
    <w:rsid w:val="00F53ACC"/>
    <w:rsid w:val="00F545A1"/>
    <w:rsid w:val="00F61304"/>
    <w:rsid w:val="00F62F44"/>
    <w:rsid w:val="00F65503"/>
    <w:rsid w:val="00F67647"/>
    <w:rsid w:val="00F70019"/>
    <w:rsid w:val="00F711B7"/>
    <w:rsid w:val="00F7581E"/>
    <w:rsid w:val="00F83ED9"/>
    <w:rsid w:val="00F8443A"/>
    <w:rsid w:val="00F8675E"/>
    <w:rsid w:val="00F92802"/>
    <w:rsid w:val="00F94E30"/>
    <w:rsid w:val="00FA0FCC"/>
    <w:rsid w:val="00FA11BF"/>
    <w:rsid w:val="00FB1DDF"/>
    <w:rsid w:val="00FB38A5"/>
    <w:rsid w:val="00FB3CF0"/>
    <w:rsid w:val="00FB4B99"/>
    <w:rsid w:val="00FB73B9"/>
    <w:rsid w:val="00FC0A6B"/>
    <w:rsid w:val="00FC210D"/>
    <w:rsid w:val="00FC4DA7"/>
    <w:rsid w:val="00FD098B"/>
    <w:rsid w:val="00FD2702"/>
    <w:rsid w:val="00FD749C"/>
    <w:rsid w:val="00FD7DE3"/>
    <w:rsid w:val="00FE0488"/>
    <w:rsid w:val="00FE4686"/>
    <w:rsid w:val="00FF163B"/>
    <w:rsid w:val="00FF3112"/>
    <w:rsid w:val="00FF3AC6"/>
    <w:rsid w:val="00FF776D"/>
    <w:rsid w:val="3FBF4A83"/>
    <w:rsid w:val="4FEF5DC6"/>
    <w:rsid w:val="6A7E5F1F"/>
    <w:rsid w:val="6F2CF14F"/>
    <w:rsid w:val="7CDB748B"/>
    <w:rsid w:val="7FED56C1"/>
    <w:rsid w:val="BFFD2FE8"/>
    <w:rsid w:val="F57FD9DC"/>
    <w:rsid w:val="FBF57756"/>
  </w:rsids>
  <m:mathPr>
    <m:mathFont m:val="Cambria Math"/>
    <m:brkBin m:val="before"/>
    <m:brkBinSub m:val="--"/>
    <m:smallFrac m:val="1"/>
    <m:dispDef/>
    <m:lMargin m:val="0"/>
    <m:rMargin m:val="0"/>
    <m:defJc m:val="centerGroup"/>
    <m:wrapIndent m:val="1440"/>
    <m:intLim m:val="subSup"/>
    <m:naryLim m:val="undOvr"/>
  </m:mathPr>
  <w:themeFontLang w:val="es-CO"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nhideWhenUsed="0" w:uiPriority="99" w:semiHidden="0" w:name="Table Subtle 2"/>
    <w:lsdException w:uiPriority="99" w:name="Table Web 1"/>
    <w:lsdException w:uiPriority="99" w:name="Table Web 2"/>
    <w:lsdException w:unhideWhenUsed="0" w:uiPriority="99" w:semiHidden="0" w:name="Table Web 3"/>
    <w:lsdException w:qFormat="1" w:uiPriority="99"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imes New Roman" w:hAnsi="Times New Roman" w:eastAsia="Times New Roman" w:cs="Times New Roman"/>
      <w:sz w:val="24"/>
      <w:szCs w:val="24"/>
      <w:lang w:val="es-ES" w:eastAsia="es-ES" w:bidi="ar-SA"/>
    </w:rPr>
  </w:style>
  <w:style w:type="paragraph" w:styleId="2">
    <w:name w:val="heading 1"/>
    <w:basedOn w:val="1"/>
    <w:next w:val="1"/>
    <w:link w:val="23"/>
    <w:qFormat/>
    <w:uiPriority w:val="9"/>
    <w:pPr>
      <w:keepNext/>
      <w:keepLines/>
      <w:spacing w:before="240" w:after="0"/>
      <w:outlineLvl w:val="0"/>
    </w:pPr>
    <w:rPr>
      <w:rFonts w:asciiTheme="majorHAnsi" w:hAnsiTheme="majorHAnsi" w:eastAsiaTheme="majorEastAsia" w:cstheme="majorBidi"/>
      <w:color w:val="376092" w:themeColor="accent1" w:themeShade="BF"/>
      <w:sz w:val="32"/>
      <w:szCs w:val="32"/>
    </w:rPr>
  </w:style>
  <w:style w:type="character" w:default="1" w:styleId="10">
    <w:name w:val="Default Paragraph Font"/>
    <w:semiHidden/>
    <w:unhideWhenUsed/>
    <w:qFormat/>
    <w:uiPriority w:val="1"/>
  </w:style>
  <w:style w:type="table" w:default="1" w:styleId="13">
    <w:name w:val="Normal Table"/>
    <w:semiHidden/>
    <w:unhideWhenUsed/>
    <w:qFormat/>
    <w:uiPriority w:val="99"/>
    <w:tblPr>
      <w:tblLayout w:type="fixed"/>
      <w:tblCellMar>
        <w:top w:w="0" w:type="dxa"/>
        <w:left w:w="108" w:type="dxa"/>
        <w:bottom w:w="0" w:type="dxa"/>
        <w:right w:w="108" w:type="dxa"/>
      </w:tblCellMar>
    </w:tblPr>
  </w:style>
  <w:style w:type="paragraph" w:styleId="3">
    <w:name w:val="Balloon Text"/>
    <w:basedOn w:val="1"/>
    <w:link w:val="18"/>
    <w:semiHidden/>
    <w:unhideWhenUsed/>
    <w:qFormat/>
    <w:uiPriority w:val="99"/>
    <w:rPr>
      <w:rFonts w:ascii="Tahoma" w:hAnsi="Tahoma" w:cs="Tahoma"/>
      <w:sz w:val="16"/>
      <w:szCs w:val="16"/>
    </w:rPr>
  </w:style>
  <w:style w:type="paragraph" w:styleId="4">
    <w:name w:val="Body Text"/>
    <w:basedOn w:val="1"/>
    <w:qFormat/>
    <w:uiPriority w:val="0"/>
    <w:pPr>
      <w:spacing w:before="60" w:after="60"/>
      <w:jc w:val="both"/>
    </w:pPr>
    <w:rPr>
      <w:rFonts w:ascii="Arial" w:hAnsi="Arial"/>
      <w:sz w:val="22"/>
      <w:szCs w:val="20"/>
      <w:lang w:val="es-CO"/>
    </w:rPr>
  </w:style>
  <w:style w:type="paragraph" w:styleId="5">
    <w:name w:val="footer"/>
    <w:basedOn w:val="1"/>
    <w:link w:val="19"/>
    <w:qFormat/>
    <w:uiPriority w:val="99"/>
    <w:pPr>
      <w:tabs>
        <w:tab w:val="center" w:pos="4252"/>
        <w:tab w:val="right" w:pos="8504"/>
      </w:tabs>
    </w:pPr>
  </w:style>
  <w:style w:type="paragraph" w:styleId="6">
    <w:name w:val="header"/>
    <w:basedOn w:val="1"/>
    <w:link w:val="15"/>
    <w:qFormat/>
    <w:uiPriority w:val="0"/>
    <w:pPr>
      <w:tabs>
        <w:tab w:val="center" w:pos="4252"/>
        <w:tab w:val="right" w:pos="8504"/>
      </w:tabs>
    </w:pPr>
  </w:style>
  <w:style w:type="paragraph" w:styleId="7">
    <w:name w:val="toc 1"/>
    <w:basedOn w:val="1"/>
    <w:next w:val="1"/>
    <w:unhideWhenUsed/>
    <w:qFormat/>
    <w:uiPriority w:val="39"/>
    <w:pPr>
      <w:spacing w:after="100"/>
    </w:pPr>
    <w:rPr>
      <w:rFonts w:asciiTheme="minorHAnsi" w:hAnsiTheme="minorHAnsi" w:eastAsiaTheme="minorEastAsia"/>
      <w:sz w:val="22"/>
      <w:szCs w:val="22"/>
      <w:lang w:val="es-CO" w:eastAsia="es-CO"/>
    </w:rPr>
  </w:style>
  <w:style w:type="paragraph" w:styleId="8">
    <w:name w:val="toc 2"/>
    <w:basedOn w:val="1"/>
    <w:next w:val="1"/>
    <w:unhideWhenUsed/>
    <w:qFormat/>
    <w:uiPriority w:val="39"/>
    <w:pPr>
      <w:spacing w:after="100"/>
      <w:ind w:left="220"/>
    </w:pPr>
    <w:rPr>
      <w:rFonts w:asciiTheme="minorHAnsi" w:hAnsiTheme="minorHAnsi" w:eastAsiaTheme="minorEastAsia"/>
      <w:sz w:val="22"/>
      <w:szCs w:val="22"/>
      <w:lang w:val="es-CO" w:eastAsia="es-CO"/>
    </w:rPr>
  </w:style>
  <w:style w:type="paragraph" w:styleId="9">
    <w:name w:val="toc 3"/>
    <w:basedOn w:val="1"/>
    <w:next w:val="1"/>
    <w:unhideWhenUsed/>
    <w:qFormat/>
    <w:uiPriority w:val="39"/>
    <w:pPr>
      <w:spacing w:after="100"/>
      <w:ind w:left="440"/>
    </w:pPr>
    <w:rPr>
      <w:rFonts w:asciiTheme="minorHAnsi" w:hAnsiTheme="minorHAnsi" w:eastAsiaTheme="minorEastAsia"/>
      <w:sz w:val="22"/>
      <w:szCs w:val="22"/>
      <w:lang w:val="es-CO" w:eastAsia="es-CO"/>
    </w:rPr>
  </w:style>
  <w:style w:type="character" w:styleId="11">
    <w:name w:val="Hyperlink"/>
    <w:basedOn w:val="10"/>
    <w:qFormat/>
    <w:uiPriority w:val="0"/>
    <w:rPr>
      <w:color w:val="0000FF"/>
      <w:u w:val="single"/>
    </w:rPr>
  </w:style>
  <w:style w:type="character" w:styleId="12">
    <w:name w:val="page number"/>
    <w:basedOn w:val="10"/>
    <w:qFormat/>
    <w:uiPriority w:val="0"/>
  </w:style>
  <w:style w:type="table" w:styleId="14">
    <w:name w:val="Table Grid"/>
    <w:basedOn w:val="13"/>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5">
    <w:name w:val="Encabezado Car"/>
    <w:basedOn w:val="10"/>
    <w:link w:val="6"/>
    <w:qFormat/>
    <w:locked/>
    <w:uiPriority w:val="99"/>
    <w:rPr>
      <w:sz w:val="24"/>
      <w:szCs w:val="24"/>
      <w:lang w:val="es-ES" w:eastAsia="es-ES"/>
    </w:rPr>
  </w:style>
  <w:style w:type="paragraph" w:styleId="16">
    <w:name w:val="List Paragraph"/>
    <w:basedOn w:val="1"/>
    <w:qFormat/>
    <w:uiPriority w:val="1"/>
    <w:pPr>
      <w:spacing w:after="200" w:line="276" w:lineRule="auto"/>
      <w:ind w:left="720"/>
      <w:contextualSpacing/>
    </w:pPr>
    <w:rPr>
      <w:rFonts w:ascii="Calibri" w:hAnsi="Calibri" w:eastAsia="Calibri"/>
      <w:sz w:val="22"/>
      <w:szCs w:val="22"/>
      <w:lang w:eastAsia="en-US"/>
    </w:rPr>
  </w:style>
  <w:style w:type="paragraph" w:styleId="17">
    <w:name w:val="No Spacing"/>
    <w:qFormat/>
    <w:uiPriority w:val="1"/>
    <w:pPr>
      <w:suppressAutoHyphens/>
      <w:spacing w:after="160" w:line="259" w:lineRule="auto"/>
    </w:pPr>
    <w:rPr>
      <w:rFonts w:ascii="Times New Roman" w:hAnsi="Times New Roman" w:eastAsia="Times New Roman" w:cs="Times New Roman"/>
      <w:lang w:val="es-CO" w:eastAsia="ar-SA" w:bidi="ar-SA"/>
    </w:rPr>
  </w:style>
  <w:style w:type="character" w:customStyle="1" w:styleId="18">
    <w:name w:val="Texto de globo Car"/>
    <w:basedOn w:val="10"/>
    <w:link w:val="3"/>
    <w:semiHidden/>
    <w:qFormat/>
    <w:uiPriority w:val="99"/>
    <w:rPr>
      <w:rFonts w:ascii="Tahoma" w:hAnsi="Tahoma" w:cs="Tahoma"/>
      <w:sz w:val="16"/>
      <w:szCs w:val="16"/>
      <w:lang w:val="es-ES" w:eastAsia="es-ES"/>
    </w:rPr>
  </w:style>
  <w:style w:type="character" w:customStyle="1" w:styleId="19">
    <w:name w:val="Pie de página Car"/>
    <w:basedOn w:val="10"/>
    <w:link w:val="5"/>
    <w:qFormat/>
    <w:uiPriority w:val="99"/>
    <w:rPr>
      <w:sz w:val="24"/>
      <w:szCs w:val="24"/>
      <w:lang w:val="es-ES" w:eastAsia="es-ES"/>
    </w:rPr>
  </w:style>
  <w:style w:type="character" w:customStyle="1" w:styleId="20">
    <w:name w:val="apple-converted-space"/>
    <w:basedOn w:val="10"/>
    <w:qFormat/>
    <w:uiPriority w:val="0"/>
  </w:style>
  <w:style w:type="table" w:customStyle="1" w:styleId="21">
    <w:name w:val="Grid Table 4 Accent 5"/>
    <w:basedOn w:val="13"/>
    <w:qFormat/>
    <w:uiPriority w:val="49"/>
    <w:pPr>
      <w:spacing w:after="0" w:line="240" w:lineRule="auto"/>
    </w:pPr>
    <w:tblPr>
      <w:tblBorders>
        <w:top w:val="single" w:color="92CDDC" w:themeColor="accent5" w:themeTint="99" w:sz="4" w:space="0"/>
        <w:left w:val="single" w:color="92CDDC" w:themeColor="accent5" w:themeTint="99" w:sz="4" w:space="0"/>
        <w:bottom w:val="single" w:color="92CDDC" w:themeColor="accent5" w:themeTint="99" w:sz="4" w:space="0"/>
        <w:right w:val="single" w:color="92CDDC" w:themeColor="accent5" w:themeTint="99" w:sz="4" w:space="0"/>
        <w:insideH w:val="single" w:color="92CDDC" w:themeColor="accent5" w:themeTint="99" w:sz="4" w:space="0"/>
        <w:insideV w:val="single" w:color="92CDDC" w:themeColor="accent5" w:themeTint="99" w:sz="4" w:space="0"/>
      </w:tblBorders>
      <w:tblLayout w:type="fixed"/>
    </w:tblPr>
    <w:tblStylePr w:type="firstRow">
      <w:rPr>
        <w:b/>
        <w:bCs/>
        <w:color w:val="FFFFFF" w:themeColor="background1"/>
        <w14:textFill>
          <w14:solidFill>
            <w14:schemeClr w14:val="bg1"/>
          </w14:solidFill>
        </w14:textFill>
      </w:rPr>
      <w:tcPr>
        <w:tcBorders>
          <w:top w:val="single" w:color="4BACC6" w:themeColor="accent5" w:sz="4" w:space="0"/>
          <w:left w:val="single" w:color="4BACC6" w:themeColor="accent5" w:sz="4" w:space="0"/>
          <w:bottom w:val="single" w:color="4BACC6" w:themeColor="accent5" w:sz="4" w:space="0"/>
          <w:right w:val="single" w:color="4BACC6" w:themeColor="accent5" w:sz="4" w:space="0"/>
          <w:insideH w:val="nil"/>
          <w:insideV w:val="nil"/>
        </w:tcBorders>
        <w:shd w:val="clear" w:color="auto" w:fill="4BACC6" w:themeFill="accent5"/>
      </w:tcPr>
    </w:tblStylePr>
    <w:tblStylePr w:type="lastRow">
      <w:rPr>
        <w:b/>
        <w:bCs/>
      </w:rPr>
      <w:tcPr>
        <w:tcBorders>
          <w:top w:val="double" w:color="4BACC6" w:themeColor="accent5" w:sz="4" w:space="0"/>
        </w:tcBorders>
      </w:tcPr>
    </w:tblStylePr>
    <w:tblStylePr w:type="firstCol">
      <w:rPr>
        <w:b/>
        <w:bCs/>
      </w:rPr>
    </w:tblStylePr>
    <w:tblStylePr w:type="lastCol">
      <w:rPr>
        <w:b/>
        <w:bCs/>
      </w:rPr>
    </w:tblStylePr>
    <w:tblStylePr w:type="band1Vert">
      <w:tcPr>
        <w:shd w:val="clear" w:color="auto" w:fill="DAEEF3" w:themeFill="accent5" w:themeFillTint="33"/>
      </w:tcPr>
    </w:tblStylePr>
    <w:tblStylePr w:type="band1Horz">
      <w:tcPr>
        <w:shd w:val="clear" w:color="auto" w:fill="DAEEF3" w:themeFill="accent5" w:themeFillTint="33"/>
      </w:tcPr>
    </w:tblStylePr>
  </w:style>
  <w:style w:type="character" w:customStyle="1" w:styleId="22">
    <w:name w:val="Mención sin resolver1"/>
    <w:basedOn w:val="10"/>
    <w:semiHidden/>
    <w:unhideWhenUsed/>
    <w:qFormat/>
    <w:uiPriority w:val="99"/>
    <w:rPr>
      <w:color w:val="808080"/>
      <w:shd w:val="clear" w:color="auto" w:fill="E6E6E6"/>
    </w:rPr>
  </w:style>
  <w:style w:type="character" w:customStyle="1" w:styleId="23">
    <w:name w:val="Título 1 Car"/>
    <w:basedOn w:val="10"/>
    <w:link w:val="2"/>
    <w:qFormat/>
    <w:uiPriority w:val="9"/>
    <w:rPr>
      <w:rFonts w:asciiTheme="majorHAnsi" w:hAnsiTheme="majorHAnsi" w:eastAsiaTheme="majorEastAsia" w:cstheme="majorBidi"/>
      <w:color w:val="376092" w:themeColor="accent1" w:themeShade="BF"/>
      <w:sz w:val="32"/>
      <w:szCs w:val="32"/>
      <w:lang w:val="es-ES" w:eastAsia="es-ES"/>
    </w:rPr>
  </w:style>
  <w:style w:type="paragraph" w:customStyle="1" w:styleId="24">
    <w:name w:val="TOC Heading"/>
    <w:basedOn w:val="2"/>
    <w:next w:val="1"/>
    <w:unhideWhenUsed/>
    <w:qFormat/>
    <w:uiPriority w:val="39"/>
    <w:pPr>
      <w:outlineLvl w:val="9"/>
    </w:pPr>
    <w:rPr>
      <w:lang w:val="es-CO" w:eastAsia="es-CO"/>
    </w:rPr>
  </w:style>
  <w:style w:type="paragraph" w:customStyle="1" w:styleId="25">
    <w:name w:val="Párrafo de lista1"/>
    <w:basedOn w:val="1"/>
    <w:qFormat/>
    <w:uiPriority w:val="34"/>
    <w:pPr>
      <w:ind w:left="720"/>
      <w:contextualSpacing/>
    </w:pPr>
    <w:rPr>
      <w:rFonts w:ascii="Calibri" w:hAnsi="Calibri" w:eastAsia="Calibri"/>
      <w:sz w:val="22"/>
      <w:szCs w:val="22"/>
      <w:lang w:val="es-CO" w:eastAsia="en-US"/>
    </w:rPr>
  </w:style>
  <w:style w:type="paragraph" w:customStyle="1" w:styleId="26">
    <w:name w:val="Table Paragraph"/>
    <w:basedOn w:val="1"/>
    <w:qFormat/>
    <w:uiPriority w:val="1"/>
    <w:pPr>
      <w:widowControl w:val="0"/>
      <w:autoSpaceDE w:val="0"/>
      <w:autoSpaceDN w:val="0"/>
      <w:spacing w:after="0" w:line="240" w:lineRule="auto"/>
      <w:ind w:left="107"/>
    </w:pPr>
    <w:rPr>
      <w:rFonts w:ascii="Arial" w:hAnsi="Arial" w:eastAsia="Arial" w:cs="Arial"/>
      <w:sz w:val="22"/>
      <w:szCs w:val="22"/>
      <w:lang w:val="es-CO" w:eastAsia="es-CO" w:bidi="es-CO"/>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GOBERNACION</Company>
  <Pages>7</Pages>
  <Words>1359</Words>
  <Characters>7728</Characters>
  <Lines>64</Lines>
  <Paragraphs>18</Paragraphs>
  <TotalTime>48</TotalTime>
  <ScaleCrop>false</ScaleCrop>
  <LinksUpToDate>false</LinksUpToDate>
  <CharactersWithSpaces>9069</CharactersWithSpaces>
  <Application>WPS Office_11.1.0.8865_F1E327BC-269C-435d-A152-05C5408002CA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2019-11-12T06:50:00Z</dcterms:created>
  <dc:creator>SISTEMAS</dc:creator>
  <cp:lastModifiedBy>david</cp:lastModifiedBy>
  <cp:lastPrinted>2006-08-08T10:45:00Z</cp:lastPrinted>
  <dcterms:modified xsi:type="dcterms:W3CDTF">2019-11-26T19:24:27Z</dcterms:modified>
  <dc:title>1</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1033-11.1.0.8865</vt:lpwstr>
  </property>
</Properties>
</file>